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718F0" w14:textId="39177BC3" w:rsidR="00C34963" w:rsidRPr="00201A8D" w:rsidRDefault="005761B7" w:rsidP="00091C57">
      <w:pPr>
        <w:jc w:val="center"/>
        <w:rPr>
          <w:rFonts w:ascii="Cambria" w:hAnsi="Cambria" w:cstheme="minorHAnsi"/>
          <w:b/>
          <w:color w:val="BB4525"/>
        </w:rPr>
      </w:pPr>
      <w:r w:rsidRPr="00201A8D">
        <w:rPr>
          <w:rFonts w:cstheme="minorHAnsi"/>
          <w:noProof/>
          <w:color w:val="BB4525"/>
        </w:rPr>
        <w:drawing>
          <wp:anchor distT="0" distB="0" distL="114300" distR="114300" simplePos="0" relativeHeight="251659264" behindDoc="1" locked="0" layoutInCell="1" allowOverlap="1" wp14:anchorId="22D263B1" wp14:editId="08A1A545">
            <wp:simplePos x="0" y="0"/>
            <wp:positionH relativeFrom="column">
              <wp:posOffset>31750</wp:posOffset>
            </wp:positionH>
            <wp:positionV relativeFrom="paragraph">
              <wp:posOffset>19050</wp:posOffset>
            </wp:positionV>
            <wp:extent cx="1765300" cy="2279015"/>
            <wp:effectExtent l="19050" t="19050" r="25400" b="26035"/>
            <wp:wrapTight wrapText="bothSides">
              <wp:wrapPolygon edited="0">
                <wp:start x="-233" y="-181"/>
                <wp:lineTo x="-233" y="21666"/>
                <wp:lineTo x="21678" y="21666"/>
                <wp:lineTo x="21678" y="-181"/>
                <wp:lineTo x="-233" y="-18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2279015"/>
                    </a:xfrm>
                    <a:prstGeom prst="rect">
                      <a:avLst/>
                    </a:prstGeom>
                    <a:noFill/>
                    <a:ln w="3175">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091C57" w:rsidRPr="00201A8D">
        <w:rPr>
          <w:rFonts w:ascii="Cambria" w:hAnsi="Cambria" w:cstheme="minorHAnsi"/>
          <w:b/>
          <w:color w:val="BB4525"/>
        </w:rPr>
        <w:t xml:space="preserve">The Development of the </w:t>
      </w:r>
      <w:r w:rsidR="0082519C" w:rsidRPr="00201A8D">
        <w:rPr>
          <w:rFonts w:ascii="Cambria" w:hAnsi="Cambria" w:cstheme="minorHAnsi"/>
          <w:b/>
          <w:color w:val="BB4525"/>
        </w:rPr>
        <w:br/>
      </w:r>
      <w:r w:rsidR="00091C57" w:rsidRPr="00201A8D">
        <w:rPr>
          <w:rFonts w:ascii="Cambria" w:hAnsi="Cambria" w:cstheme="minorHAnsi"/>
          <w:b/>
          <w:i/>
          <w:color w:val="BB4525"/>
        </w:rPr>
        <w:t>Early Learning Community Action Guide</w:t>
      </w:r>
    </w:p>
    <w:p w14:paraId="60560C1F" w14:textId="3CEA6AA3" w:rsidR="00B511B1" w:rsidRPr="005761B7" w:rsidRDefault="00B511B1" w:rsidP="00C03383">
      <w:pPr>
        <w:rPr>
          <w:rFonts w:cstheme="minorHAnsi"/>
        </w:rPr>
      </w:pPr>
      <w:r w:rsidRPr="005761B7">
        <w:rPr>
          <w:rFonts w:cstheme="minorHAnsi"/>
        </w:rPr>
        <w:t xml:space="preserve">The </w:t>
      </w:r>
      <w:r w:rsidRPr="005761B7">
        <w:rPr>
          <w:rFonts w:cstheme="minorHAnsi"/>
          <w:i/>
        </w:rPr>
        <w:t>Early Learning Community Action Guide</w:t>
      </w:r>
      <w:r w:rsidRPr="005761B7">
        <w:rPr>
          <w:rFonts w:cstheme="minorHAnsi"/>
        </w:rPr>
        <w:t xml:space="preserve"> </w:t>
      </w:r>
      <w:r w:rsidR="002B2F6A" w:rsidRPr="005761B7">
        <w:rPr>
          <w:rFonts w:cstheme="minorHAnsi"/>
        </w:rPr>
        <w:t xml:space="preserve">from </w:t>
      </w:r>
      <w:r w:rsidRPr="005761B7">
        <w:rPr>
          <w:rFonts w:cstheme="minorHAnsi"/>
        </w:rPr>
        <w:t xml:space="preserve">the Center for the Study of Social Policy (CSSP) and the National League of Cities (NLC) </w:t>
      </w:r>
      <w:r w:rsidR="002B2F6A" w:rsidRPr="005761B7">
        <w:rPr>
          <w:rFonts w:cstheme="minorHAnsi"/>
        </w:rPr>
        <w:t xml:space="preserve">was developed over </w:t>
      </w:r>
      <w:r w:rsidRPr="005761B7">
        <w:rPr>
          <w:rFonts w:cstheme="minorHAnsi"/>
        </w:rPr>
        <w:t>three years of work with early childhood leaders from communities with well-established early childhood systems</w:t>
      </w:r>
      <w:r w:rsidR="00362269" w:rsidRPr="005761B7">
        <w:rPr>
          <w:rFonts w:cstheme="minorHAnsi"/>
        </w:rPr>
        <w:t xml:space="preserve">. CSSP and NLC sought and received </w:t>
      </w:r>
      <w:r w:rsidR="00A329DE" w:rsidRPr="005761B7">
        <w:rPr>
          <w:rFonts w:cstheme="minorHAnsi"/>
        </w:rPr>
        <w:t>input from parents</w:t>
      </w:r>
      <w:r w:rsidR="002B2F6A" w:rsidRPr="005761B7">
        <w:rPr>
          <w:rFonts w:cstheme="minorHAnsi"/>
        </w:rPr>
        <w:t>, national experts</w:t>
      </w:r>
      <w:r w:rsidR="00A329DE" w:rsidRPr="005761B7">
        <w:rPr>
          <w:rFonts w:cstheme="minorHAnsi"/>
        </w:rPr>
        <w:t xml:space="preserve"> and other key stakeholders along the way</w:t>
      </w:r>
      <w:r w:rsidRPr="005761B7">
        <w:rPr>
          <w:rFonts w:cstheme="minorHAnsi"/>
        </w:rPr>
        <w:t xml:space="preserve">. </w:t>
      </w:r>
    </w:p>
    <w:p w14:paraId="601BEE95" w14:textId="75176D8F" w:rsidR="00A23C29" w:rsidRPr="005761B7" w:rsidRDefault="00B271D4">
      <w:pPr>
        <w:rPr>
          <w:rFonts w:cstheme="minorHAnsi"/>
        </w:rPr>
      </w:pPr>
      <w:r w:rsidRPr="005761B7">
        <w:rPr>
          <w:rFonts w:cstheme="minorHAnsi"/>
        </w:rPr>
        <w:t>With generous funding from the Bezos Family Foundation, NLC and CSSP launched their Early Learning Nation project in 2015. CSSP worked with its existing Early Childhood Learning and Innovation Network for Communities (EC-LINC) while NLC recruited a cohort of cities to work together on City Leadership for</w:t>
      </w:r>
      <w:r w:rsidR="002B2F6A" w:rsidRPr="005761B7">
        <w:rPr>
          <w:rFonts w:cstheme="minorHAnsi"/>
        </w:rPr>
        <w:t xml:space="preserve"> an Early Learning Nation. </w:t>
      </w:r>
    </w:p>
    <w:p w14:paraId="2A9CA47E" w14:textId="17ECB10D" w:rsidR="00C03383" w:rsidRPr="005761B7" w:rsidRDefault="00864267">
      <w:pPr>
        <w:rPr>
          <w:rFonts w:cstheme="minorHAnsi"/>
        </w:rPr>
      </w:pPr>
      <w:r>
        <w:rPr>
          <w:rFonts w:cstheme="minorHAnsi"/>
          <w:noProof/>
        </w:rPr>
        <mc:AlternateContent>
          <mc:Choice Requires="wpg">
            <w:drawing>
              <wp:anchor distT="0" distB="0" distL="114300" distR="114300" simplePos="0" relativeHeight="251662336" behindDoc="0" locked="0" layoutInCell="1" allowOverlap="1" wp14:anchorId="097ACC90" wp14:editId="2CDB0720">
                <wp:simplePos x="0" y="0"/>
                <wp:positionH relativeFrom="margin">
                  <wp:posOffset>3124200</wp:posOffset>
                </wp:positionH>
                <wp:positionV relativeFrom="paragraph">
                  <wp:posOffset>489585</wp:posOffset>
                </wp:positionV>
                <wp:extent cx="2787650" cy="4654550"/>
                <wp:effectExtent l="19050" t="0" r="31750" b="31750"/>
                <wp:wrapSquare wrapText="bothSides"/>
                <wp:docPr id="8" name="Group 8"/>
                <wp:cNvGraphicFramePr/>
                <a:graphic xmlns:a="http://schemas.openxmlformats.org/drawingml/2006/main">
                  <a:graphicData uri="http://schemas.microsoft.com/office/word/2010/wordprocessingGroup">
                    <wpg:wgp>
                      <wpg:cNvGrpSpPr/>
                      <wpg:grpSpPr>
                        <a:xfrm>
                          <a:off x="0" y="0"/>
                          <a:ext cx="2787650" cy="4654550"/>
                          <a:chOff x="0" y="0"/>
                          <a:chExt cx="2788284" cy="4757396"/>
                        </a:xfrm>
                      </wpg:grpSpPr>
                      <wps:wsp>
                        <wps:cNvPr id="217" name="Text Box 2"/>
                        <wps:cNvSpPr txBox="1">
                          <a:spLocks noChangeArrowheads="1"/>
                        </wps:cNvSpPr>
                        <wps:spPr bwMode="auto">
                          <a:xfrm>
                            <a:off x="0" y="88877"/>
                            <a:ext cx="2788284" cy="4668519"/>
                          </a:xfrm>
                          <a:prstGeom prst="rect">
                            <a:avLst/>
                          </a:prstGeom>
                          <a:solidFill>
                            <a:srgbClr val="FFFFFF"/>
                          </a:solidFill>
                          <a:ln w="47625">
                            <a:solidFill>
                              <a:schemeClr val="accent4"/>
                            </a:solidFill>
                            <a:miter lim="800000"/>
                            <a:headEnd/>
                            <a:tailEnd/>
                          </a:ln>
                        </wps:spPr>
                        <wps:txbx>
                          <w:txbxContent>
                            <w:p w14:paraId="5F2BF6C9" w14:textId="5428DC0A" w:rsidR="00A23C29" w:rsidRPr="00201A8D" w:rsidRDefault="00A23C29" w:rsidP="00864267">
                              <w:pPr>
                                <w:pStyle w:val="Heading2"/>
                                <w:ind w:right="880"/>
                                <w:jc w:val="center"/>
                                <w:rPr>
                                  <w:rFonts w:ascii="Cambria" w:eastAsiaTheme="minorHAnsi" w:hAnsi="Cambria" w:cstheme="minorHAnsi"/>
                                  <w:b/>
                                  <w:color w:val="BB4525"/>
                                  <w:sz w:val="22"/>
                                  <w:szCs w:val="22"/>
                                </w:rPr>
                              </w:pPr>
                              <w:r w:rsidRPr="00201A8D">
                                <w:rPr>
                                  <w:rFonts w:ascii="Cambria" w:eastAsiaTheme="minorHAnsi" w:hAnsi="Cambria" w:cstheme="minorHAnsi"/>
                                  <w:b/>
                                  <w:color w:val="BB4525"/>
                                  <w:sz w:val="22"/>
                                  <w:szCs w:val="22"/>
                                </w:rPr>
                                <w:t xml:space="preserve">Building on </w:t>
                              </w:r>
                              <w:r w:rsidR="00864267">
                                <w:rPr>
                                  <w:rFonts w:ascii="Cambria" w:eastAsiaTheme="minorHAnsi" w:hAnsi="Cambria" w:cstheme="minorHAnsi"/>
                                  <w:b/>
                                  <w:color w:val="BB4525"/>
                                  <w:sz w:val="22"/>
                                  <w:szCs w:val="22"/>
                                </w:rPr>
                                <w:br/>
                              </w:r>
                              <w:r w:rsidRPr="00201A8D">
                                <w:rPr>
                                  <w:rFonts w:ascii="Cambria" w:eastAsiaTheme="minorHAnsi" w:hAnsi="Cambria" w:cstheme="minorHAnsi"/>
                                  <w:b/>
                                  <w:color w:val="BB4525"/>
                                  <w:sz w:val="22"/>
                                  <w:szCs w:val="22"/>
                                </w:rPr>
                                <w:t>Previous Work</w:t>
                              </w:r>
                            </w:p>
                            <w:p w14:paraId="34A75F40" w14:textId="0B932F46" w:rsidR="00A23C29" w:rsidRDefault="00A23C29">
                              <w:r>
                                <w:t xml:space="preserve">Both CSSP and NLC have long </w:t>
                              </w:r>
                              <w:r w:rsidR="00864267">
                                <w:br/>
                              </w:r>
                              <w:r>
                                <w:t xml:space="preserve">histories in the field of early </w:t>
                              </w:r>
                              <w:r w:rsidR="00864267">
                                <w:br/>
                              </w:r>
                              <w:r>
                                <w:t xml:space="preserve">childhood. Each organization </w:t>
                              </w:r>
                              <w:r w:rsidR="00864267">
                                <w:br/>
                              </w:r>
                              <w:r>
                                <w:t>comes to this work with foundational frame</w:t>
                              </w:r>
                              <w:r w:rsidR="00864267">
                                <w:t>-</w:t>
                              </w:r>
                              <w:r>
                                <w:t xml:space="preserve">works that are in use across the country and guide our approach. CSSP’s </w:t>
                              </w:r>
                              <w:hyperlink r:id="rId9" w:history="1">
                                <w:r w:rsidRPr="00B511B1">
                                  <w:rPr>
                                    <w:rStyle w:val="Hyperlink"/>
                                    <w:b/>
                                    <w:i/>
                                  </w:rPr>
                                  <w:t>Strengthening Families Protective Factors Framework</w:t>
                                </w:r>
                              </w:hyperlink>
                              <w:r w:rsidRPr="009D34B6">
                                <w:t xml:space="preserve"> </w:t>
                              </w:r>
                              <w:r w:rsidRPr="009D34B6">
                                <w:rPr>
                                  <w:rFonts w:cs="Arial"/>
                                </w:rPr>
                                <w:t xml:space="preserve">is a research-informed approach </w:t>
                              </w:r>
                              <w:r>
                                <w:rPr>
                                  <w:rFonts w:cs="Arial"/>
                                </w:rPr>
                                <w:t>to</w:t>
                              </w:r>
                              <w:r w:rsidRPr="009D34B6">
                                <w:rPr>
                                  <w:rFonts w:cs="Arial"/>
                                </w:rPr>
                                <w:t xml:space="preserve"> engaging families, programs and communities in building five </w:t>
                              </w:r>
                              <w:r>
                                <w:rPr>
                                  <w:rFonts w:cs="Arial"/>
                                </w:rPr>
                                <w:t xml:space="preserve">key </w:t>
                              </w:r>
                              <w:r w:rsidRPr="009D34B6">
                                <w:rPr>
                                  <w:rFonts w:cs="Arial"/>
                                </w:rPr>
                                <w:t>protective factors</w:t>
                              </w:r>
                              <w:r>
                                <w:rPr>
                                  <w:rFonts w:cs="Arial"/>
                                </w:rPr>
                                <w:t xml:space="preserve"> to improve outcomes for young children and their families</w:t>
                              </w:r>
                              <w:r>
                                <w:t xml:space="preserve">. NLC’s </w:t>
                              </w:r>
                              <w:hyperlink r:id="rId10" w:history="1">
                                <w:r w:rsidRPr="00B511B1">
                                  <w:rPr>
                                    <w:rStyle w:val="Hyperlink"/>
                                    <w:b/>
                                    <w:i/>
                                  </w:rPr>
                                  <w:t>Elements of Educational Alignment</w:t>
                                </w:r>
                              </w:hyperlink>
                              <w:r>
                                <w:rPr>
                                  <w:b/>
                                  <w:i/>
                                </w:rPr>
                                <w:t xml:space="preserve"> </w:t>
                              </w:r>
                              <w:r>
                                <w:t xml:space="preserve">help cities consider how to support a well-aligned educational system that includes streamlined communication and coordinated services that address the full range of academic, behavioral, health and family issues. Both of these frameworks, and NLC and CSSP’s experiences supporting their implementation, informed the development of the </w:t>
                              </w:r>
                              <w:r w:rsidRPr="002B2F6A">
                                <w:rPr>
                                  <w:i/>
                                </w:rPr>
                                <w:t>Early Learning Community Action Guide</w:t>
                              </w:r>
                              <w:r>
                                <w:t>.</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93850" y="0"/>
                            <a:ext cx="1174750" cy="1174750"/>
                          </a:xfrm>
                          <a:prstGeom prst="rect">
                            <a:avLst/>
                          </a:prstGeom>
                        </pic:spPr>
                      </pic:pic>
                    </wpg:wgp>
                  </a:graphicData>
                </a:graphic>
                <wp14:sizeRelV relativeFrom="margin">
                  <wp14:pctHeight>0</wp14:pctHeight>
                </wp14:sizeRelV>
              </wp:anchor>
            </w:drawing>
          </mc:Choice>
          <mc:Fallback>
            <w:pict>
              <v:group w14:anchorId="097ACC90" id="Group 8" o:spid="_x0000_s1026" style="position:absolute;margin-left:246pt;margin-top:38.55pt;width:219.5pt;height:366.5pt;z-index:251662336;mso-position-horizontal-relative:margin;mso-height-relative:margin" coordsize="27882,47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">
                <v:shapetype id="_x0000_t202" coordsize="21600,21600" o:spt="202" path="m,l,21600r21600,l21600,xe">
                  <v:stroke joinstyle="miter"/>
                  <v:path gradientshapeok="t" o:connecttype="rect"/>
                </v:shapetype>
                <v:shape id="Text Box 2" o:spid="_x0000_s1027" type="#_x0000_t202" style="position:absolute;top:888;width:27882;height:46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OLsMA&#10;AADcAAAADwAAAGRycy9kb3ducmV2LnhtbESPQWsCMRSE74L/ITzBm2YVtWU1igiK3tq11Otj87q7&#10;dvOyJlHXf98UBI/DzHzDLFatqcWNnK8sKxgNExDEudUVFwq+jtvBOwgfkDXWlknBgzyslt3OAlNt&#10;7/xJtywUIkLYp6igDKFJpfR5SQb90DbE0fuxzmCI0hVSO7xHuKnlOElm0mDFcaHEhjYl5b/Z1SjY&#10;uWmSXWhbn7U9fn+c183Enw5K9Xvteg4iUBte4Wd7rxWMR2/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tOLsMAAADcAAAADwAAAAAAAAAAAAAAAACYAgAAZHJzL2Rv&#10;d25yZXYueG1sUEsFBgAAAAAEAAQA9QAAAIgDAAAAAA==&#10;" strokecolor="#ffc000 [3207]" strokeweight="3.75pt">
                  <v:textbox>
                    <w:txbxContent>
                      <w:p w14:paraId="5F2BF6C9" w14:textId="5428DC0A" w:rsidR="00A23C29" w:rsidRPr="00201A8D" w:rsidRDefault="00A23C29" w:rsidP="00864267">
                        <w:pPr>
                          <w:pStyle w:val="Heading2"/>
                          <w:ind w:right="880"/>
                          <w:jc w:val="center"/>
                          <w:rPr>
                            <w:rFonts w:ascii="Cambria" w:eastAsiaTheme="minorHAnsi" w:hAnsi="Cambria" w:cstheme="minorHAnsi"/>
                            <w:b/>
                            <w:color w:val="BB4525"/>
                            <w:sz w:val="22"/>
                            <w:szCs w:val="22"/>
                          </w:rPr>
                        </w:pPr>
                        <w:r w:rsidRPr="00201A8D">
                          <w:rPr>
                            <w:rFonts w:ascii="Cambria" w:eastAsiaTheme="minorHAnsi" w:hAnsi="Cambria" w:cstheme="minorHAnsi"/>
                            <w:b/>
                            <w:color w:val="BB4525"/>
                            <w:sz w:val="22"/>
                            <w:szCs w:val="22"/>
                          </w:rPr>
                          <w:t xml:space="preserve">Building on </w:t>
                        </w:r>
                        <w:r w:rsidR="00864267">
                          <w:rPr>
                            <w:rFonts w:ascii="Cambria" w:eastAsiaTheme="minorHAnsi" w:hAnsi="Cambria" w:cstheme="minorHAnsi"/>
                            <w:b/>
                            <w:color w:val="BB4525"/>
                            <w:sz w:val="22"/>
                            <w:szCs w:val="22"/>
                          </w:rPr>
                          <w:br/>
                        </w:r>
                        <w:r w:rsidRPr="00201A8D">
                          <w:rPr>
                            <w:rFonts w:ascii="Cambria" w:eastAsiaTheme="minorHAnsi" w:hAnsi="Cambria" w:cstheme="minorHAnsi"/>
                            <w:b/>
                            <w:color w:val="BB4525"/>
                            <w:sz w:val="22"/>
                            <w:szCs w:val="22"/>
                          </w:rPr>
                          <w:t>Previous Work</w:t>
                        </w:r>
                      </w:p>
                      <w:p w14:paraId="34A75F40" w14:textId="0B932F46" w:rsidR="00A23C29" w:rsidRDefault="00A23C29">
                        <w:r>
                          <w:t xml:space="preserve">Both CSSP and NLC have long </w:t>
                        </w:r>
                        <w:r w:rsidR="00864267">
                          <w:br/>
                        </w:r>
                        <w:r>
                          <w:t xml:space="preserve">histories in the field of early </w:t>
                        </w:r>
                        <w:r w:rsidR="00864267">
                          <w:br/>
                        </w:r>
                        <w:r>
                          <w:t xml:space="preserve">childhood. Each organization </w:t>
                        </w:r>
                        <w:r w:rsidR="00864267">
                          <w:br/>
                        </w:r>
                        <w:r>
                          <w:t>comes to this work with foundational frame</w:t>
                        </w:r>
                        <w:r w:rsidR="00864267">
                          <w:t>-</w:t>
                        </w:r>
                        <w:r>
                          <w:t xml:space="preserve">works that are in use across the country and guide our approach. CSSP’s </w:t>
                        </w:r>
                        <w:hyperlink r:id="rId12" w:history="1">
                          <w:r w:rsidRPr="00B511B1">
                            <w:rPr>
                              <w:rStyle w:val="Hyperlink"/>
                              <w:b/>
                              <w:i/>
                            </w:rPr>
                            <w:t>Strengthening Families Protective Factors Framework</w:t>
                          </w:r>
                        </w:hyperlink>
                        <w:r w:rsidRPr="009D34B6">
                          <w:t xml:space="preserve"> </w:t>
                        </w:r>
                        <w:r w:rsidRPr="009D34B6">
                          <w:rPr>
                            <w:rFonts w:cs="Arial"/>
                          </w:rPr>
                          <w:t xml:space="preserve">is a research-informed approach </w:t>
                        </w:r>
                        <w:r>
                          <w:rPr>
                            <w:rFonts w:cs="Arial"/>
                          </w:rPr>
                          <w:t>to</w:t>
                        </w:r>
                        <w:r w:rsidRPr="009D34B6">
                          <w:rPr>
                            <w:rFonts w:cs="Arial"/>
                          </w:rPr>
                          <w:t xml:space="preserve"> engaging families, programs and communities in building five </w:t>
                        </w:r>
                        <w:r>
                          <w:rPr>
                            <w:rFonts w:cs="Arial"/>
                          </w:rPr>
                          <w:t xml:space="preserve">key </w:t>
                        </w:r>
                        <w:r w:rsidRPr="009D34B6">
                          <w:rPr>
                            <w:rFonts w:cs="Arial"/>
                          </w:rPr>
                          <w:t>protective factors</w:t>
                        </w:r>
                        <w:r>
                          <w:rPr>
                            <w:rFonts w:cs="Arial"/>
                          </w:rPr>
                          <w:t xml:space="preserve"> to improve outcomes for young children and their families</w:t>
                        </w:r>
                        <w:r>
                          <w:t xml:space="preserve">. NLC’s </w:t>
                        </w:r>
                        <w:hyperlink r:id="rId13" w:history="1">
                          <w:r w:rsidRPr="00B511B1">
                            <w:rPr>
                              <w:rStyle w:val="Hyperlink"/>
                              <w:b/>
                              <w:i/>
                            </w:rPr>
                            <w:t>Elements of Educational Alignment</w:t>
                          </w:r>
                        </w:hyperlink>
                        <w:r>
                          <w:rPr>
                            <w:b/>
                            <w:i/>
                          </w:rPr>
                          <w:t xml:space="preserve"> </w:t>
                        </w:r>
                        <w:r>
                          <w:t xml:space="preserve">help cities consider how to support a well-aligned educational system that includes streamlined communication and coordinated services that address the full range of academic, behavioral, health and family issues. Both of these frameworks, and NLC and CSSP’s experiences supporting their implementation, informed the development of the </w:t>
                        </w:r>
                        <w:r w:rsidRPr="002B2F6A">
                          <w:rPr>
                            <w:i/>
                          </w:rPr>
                          <w:t>Early Learning Community Action Guide</w:t>
                        </w:r>
                        <w: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5938;width:11748;height:11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iQzBAAAA2gAAAA8AAABkcnMvZG93bnJldi54bWxET01rwkAQvRf8D8sI3nSjlippNiJC2+Ch&#10;YJSW3obsmASzsyG7Nem/dwWhp+HxPifZDKYRV+pcbVnBfBaBIC6srrlUcDq+TdcgnEfW2FgmBX/k&#10;YJOOnhKMte35QNfclyKEsItRQeV9G0vpiooMupltiQN3tp1BH2BXSt1hH8JNIxdR9CIN1hwaKmxp&#10;V1FxyX+NAi7fv2zG5vN5ucjdx/dq/3ORqNRkPGxfQXga/L/44c50mA/3V+5Xpj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yiQzBAAAA2gAAAA8AAAAAAAAAAAAAAAAAnwIA&#10;AGRycy9kb3ducmV2LnhtbFBLBQYAAAAABAAEAPcAAACNAwAAAAA=&#10;">
                  <v:imagedata r:id="rId14" o:title=""/>
                  <v:path arrowok="t"/>
                </v:shape>
                <w10:wrap type="square" anchorx="margin"/>
              </v:group>
            </w:pict>
          </mc:Fallback>
        </mc:AlternateContent>
      </w:r>
      <w:r w:rsidR="002B2F6A" w:rsidRPr="005761B7">
        <w:rPr>
          <w:rFonts w:cstheme="minorHAnsi"/>
        </w:rPr>
        <w:t xml:space="preserve">In late 2015, CSSP </w:t>
      </w:r>
      <w:r w:rsidR="00A23C29" w:rsidRPr="005761B7">
        <w:rPr>
          <w:rFonts w:cstheme="minorHAnsi"/>
        </w:rPr>
        <w:t>convened a “learning lab” with participants from seven EC-LINC member communities</w:t>
      </w:r>
      <w:r w:rsidR="00507D55" w:rsidRPr="005761B7">
        <w:rPr>
          <w:rFonts w:cstheme="minorHAnsi"/>
        </w:rPr>
        <w:t xml:space="preserve"> focused on what it means to be an early learning community</w:t>
      </w:r>
      <w:r w:rsidR="00A23C29" w:rsidRPr="005761B7">
        <w:rPr>
          <w:rFonts w:cstheme="minorHAnsi"/>
        </w:rPr>
        <w:t xml:space="preserve">. </w:t>
      </w:r>
      <w:r w:rsidR="00507D55" w:rsidRPr="005761B7">
        <w:rPr>
          <w:rFonts w:cstheme="minorHAnsi"/>
        </w:rPr>
        <w:t xml:space="preserve">Through </w:t>
      </w:r>
      <w:r w:rsidR="00A23C29" w:rsidRPr="005761B7">
        <w:rPr>
          <w:rFonts w:cstheme="minorHAnsi"/>
        </w:rPr>
        <w:t>monthly phone meetings over the course of seven months, participants articulated a set of four “building blocks” of early learning communities</w:t>
      </w:r>
      <w:r w:rsidR="00A26EF9" w:rsidRPr="005761B7">
        <w:rPr>
          <w:rFonts w:cstheme="minorHAnsi"/>
        </w:rPr>
        <w:t xml:space="preserve"> as well as the infrastructure required to support those building blocks. Members</w:t>
      </w:r>
      <w:r w:rsidR="00A23C29" w:rsidRPr="005761B7">
        <w:rPr>
          <w:rFonts w:cstheme="minorHAnsi"/>
        </w:rPr>
        <w:t xml:space="preserve"> provided feedback on early drafts of the paper that would </w:t>
      </w:r>
      <w:proofErr w:type="gramStart"/>
      <w:r w:rsidR="00A23C29" w:rsidRPr="005761B7">
        <w:rPr>
          <w:rFonts w:cstheme="minorHAnsi"/>
        </w:rPr>
        <w:t>describe</w:t>
      </w:r>
      <w:proofErr w:type="gramEnd"/>
      <w:r w:rsidR="00A23C29" w:rsidRPr="005761B7">
        <w:rPr>
          <w:rFonts w:cstheme="minorHAnsi"/>
        </w:rPr>
        <w:t xml:space="preserve"> those building blocks and identified examples from their own communities to help illustrate what each building block looked lik</w:t>
      </w:r>
      <w:r>
        <w:rPr>
          <w:rFonts w:cstheme="minorHAnsi"/>
        </w:rPr>
        <w:t>e</w:t>
      </w:r>
      <w:r w:rsidR="00A23C29" w:rsidRPr="005761B7">
        <w:rPr>
          <w:rFonts w:cstheme="minorHAnsi"/>
        </w:rPr>
        <w:t xml:space="preserve"> in practice.</w:t>
      </w:r>
      <w:r w:rsidR="00507D55" w:rsidRPr="005761B7">
        <w:rPr>
          <w:rFonts w:cstheme="minorHAnsi"/>
        </w:rPr>
        <w:t xml:space="preserve"> The resulting paper, </w:t>
      </w:r>
      <w:hyperlink r:id="rId15" w:history="1">
        <w:r w:rsidR="00507D55" w:rsidRPr="005761B7">
          <w:rPr>
            <w:rStyle w:val="Hyperlink"/>
            <w:rFonts w:cstheme="minorHAnsi"/>
            <w:i/>
          </w:rPr>
          <w:t>Early Learning Communities: Building Blocks for Success</w:t>
        </w:r>
      </w:hyperlink>
      <w:r w:rsidR="00507D55" w:rsidRPr="005761B7">
        <w:rPr>
          <w:rFonts w:cstheme="minorHAnsi"/>
        </w:rPr>
        <w:t>, was released in the summer of 2016.</w:t>
      </w:r>
    </w:p>
    <w:p w14:paraId="565F51DC" w14:textId="77777777" w:rsidR="00507D55" w:rsidRPr="005761B7" w:rsidRDefault="00507D55">
      <w:pPr>
        <w:rPr>
          <w:rFonts w:cstheme="minorHAnsi"/>
        </w:rPr>
      </w:pPr>
      <w:r w:rsidRPr="005761B7">
        <w:rPr>
          <w:rFonts w:cstheme="minorHAnsi"/>
        </w:rPr>
        <w:t>In the fall of 2016, CSSP and NLC sought additional feedback on the building blo</w:t>
      </w:r>
      <w:r w:rsidR="00A26EF9" w:rsidRPr="005761B7">
        <w:rPr>
          <w:rFonts w:cstheme="minorHAnsi"/>
        </w:rPr>
        <w:t>cks structure,</w:t>
      </w:r>
      <w:r w:rsidRPr="005761B7">
        <w:rPr>
          <w:rFonts w:cstheme="minorHAnsi"/>
        </w:rPr>
        <w:t xml:space="preserve"> from communities in the networks who had begun putting it to use, and from colleagues with expertise in neighborhood-level work. Minor revisions were made to the building blocks paper, with the most significant changes in the section about “neighborhoods where families ca</w:t>
      </w:r>
      <w:bookmarkStart w:id="0" w:name="_GoBack"/>
      <w:bookmarkEnd w:id="0"/>
      <w:r w:rsidRPr="005761B7">
        <w:rPr>
          <w:rFonts w:cstheme="minorHAnsi"/>
        </w:rPr>
        <w:t>n thrive.”</w:t>
      </w:r>
    </w:p>
    <w:p w14:paraId="21D447D4" w14:textId="3C920BFD" w:rsidR="00507D55" w:rsidRPr="005761B7" w:rsidRDefault="00507D55">
      <w:pPr>
        <w:rPr>
          <w:rFonts w:cstheme="minorHAnsi"/>
        </w:rPr>
      </w:pPr>
      <w:r w:rsidRPr="005761B7">
        <w:rPr>
          <w:rFonts w:cstheme="minorHAnsi"/>
        </w:rPr>
        <w:t xml:space="preserve">Development of the </w:t>
      </w:r>
      <w:r w:rsidRPr="005761B7">
        <w:rPr>
          <w:rFonts w:cstheme="minorHAnsi"/>
          <w:i/>
        </w:rPr>
        <w:t>Early Learning Community Action Guide</w:t>
      </w:r>
      <w:r w:rsidRPr="005761B7">
        <w:rPr>
          <w:rFonts w:cstheme="minorHAnsi"/>
        </w:rPr>
        <w:t>, and its accompanying Progress Rating Tool, began in late 2016. CSSP and NLC staff built out the “</w:t>
      </w:r>
      <w:r w:rsidR="00864267">
        <w:rPr>
          <w:rFonts w:cstheme="minorHAnsi"/>
        </w:rPr>
        <w:t>targets</w:t>
      </w:r>
      <w:r w:rsidRPr="005761B7">
        <w:rPr>
          <w:rFonts w:cstheme="minorHAnsi"/>
        </w:rPr>
        <w:t xml:space="preserve">” of each building block with descriptive statements </w:t>
      </w:r>
      <w:r w:rsidR="002C495E" w:rsidRPr="005761B7">
        <w:rPr>
          <w:rFonts w:cstheme="minorHAnsi"/>
        </w:rPr>
        <w:t xml:space="preserve">of what this would look like in a community that is just getting started, a </w:t>
      </w:r>
      <w:r w:rsidR="00550B8A" w:rsidRPr="00550B8A">
        <w:rPr>
          <w:rFonts w:cstheme="minorHAnsi"/>
          <w:i/>
          <w:noProof/>
        </w:rPr>
        <w:lastRenderedPageBreak/>
        <w:drawing>
          <wp:anchor distT="0" distB="0" distL="114300" distR="114300" simplePos="0" relativeHeight="251665408" behindDoc="1" locked="0" layoutInCell="1" allowOverlap="1" wp14:anchorId="7D32D721" wp14:editId="2A03BB96">
            <wp:simplePos x="0" y="0"/>
            <wp:positionH relativeFrom="margin">
              <wp:align>right</wp:align>
            </wp:positionH>
            <wp:positionV relativeFrom="paragraph">
              <wp:posOffset>0</wp:posOffset>
            </wp:positionV>
            <wp:extent cx="3898900" cy="2562225"/>
            <wp:effectExtent l="0" t="0" r="6350" b="9525"/>
            <wp:wrapTight wrapText="bothSides">
              <wp:wrapPolygon edited="0">
                <wp:start x="0" y="0"/>
                <wp:lineTo x="0" y="21520"/>
                <wp:lineTo x="21530" y="21520"/>
                <wp:lineTo x="2153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email">
                      <a:extLst>
                        <a:ext uri="{28A0092B-C50C-407E-A947-70E740481C1C}">
                          <a14:useLocalDpi xmlns:a14="http://schemas.microsoft.com/office/drawing/2010/main" val="0"/>
                        </a:ext>
                      </a:extLst>
                    </a:blip>
                    <a:stretch>
                      <a:fillRect/>
                    </a:stretch>
                  </pic:blipFill>
                  <pic:spPr>
                    <a:xfrm>
                      <a:off x="0" y="0"/>
                      <a:ext cx="3898900" cy="2562225"/>
                    </a:xfrm>
                    <a:prstGeom prst="rect">
                      <a:avLst/>
                    </a:prstGeom>
                  </pic:spPr>
                </pic:pic>
              </a:graphicData>
            </a:graphic>
            <wp14:sizeRelH relativeFrom="margin">
              <wp14:pctWidth>0</wp14:pctWidth>
            </wp14:sizeRelH>
            <wp14:sizeRelV relativeFrom="margin">
              <wp14:pctHeight>0</wp14:pctHeight>
            </wp14:sizeRelV>
          </wp:anchor>
        </w:drawing>
      </w:r>
      <w:r w:rsidR="002C495E" w:rsidRPr="005761B7">
        <w:rPr>
          <w:rFonts w:cstheme="minorHAnsi"/>
        </w:rPr>
        <w:t xml:space="preserve">community that is making progress and a community that has made a deep commitment to work in this area. For each of those levels, a set of action steps was developed – pulling from concrete examples communities had shared in the learning lab and in other conversations about early childhood system building, as well other observations from CSSP’s and NLC’s work in early childhood systems, policy change and neighborhood change efforts. </w:t>
      </w:r>
      <w:r w:rsidR="00A26EF9" w:rsidRPr="005761B7">
        <w:rPr>
          <w:rFonts w:cstheme="minorHAnsi"/>
        </w:rPr>
        <w:t xml:space="preserve">The Progress Rating Tool was then designed to allow a community to rate its current level relative to each of the </w:t>
      </w:r>
      <w:r w:rsidR="00864267">
        <w:rPr>
          <w:rFonts w:cstheme="minorHAnsi"/>
        </w:rPr>
        <w:t>targets</w:t>
      </w:r>
      <w:r w:rsidR="00A26EF9" w:rsidRPr="005761B7">
        <w:rPr>
          <w:rFonts w:cstheme="minorHAnsi"/>
        </w:rPr>
        <w:t xml:space="preserve"> of the building blocks, and to identify areas to focus efforts.</w:t>
      </w:r>
    </w:p>
    <w:p w14:paraId="67D460DC" w14:textId="05629AED" w:rsidR="002C495E" w:rsidRPr="005761B7" w:rsidRDefault="002C495E">
      <w:pPr>
        <w:rPr>
          <w:rFonts w:cstheme="minorHAnsi"/>
        </w:rPr>
      </w:pPr>
      <w:r w:rsidRPr="005761B7">
        <w:rPr>
          <w:rFonts w:cstheme="minorHAnsi"/>
        </w:rPr>
        <w:t xml:space="preserve">In early 2017, an </w:t>
      </w:r>
      <w:r w:rsidR="00864267">
        <w:rPr>
          <w:rFonts w:cstheme="minorHAnsi"/>
        </w:rPr>
        <w:t>initial</w:t>
      </w:r>
      <w:r w:rsidRPr="005761B7">
        <w:rPr>
          <w:rFonts w:cstheme="minorHAnsi"/>
        </w:rPr>
        <w:t xml:space="preserve"> draft of the </w:t>
      </w:r>
      <w:r w:rsidRPr="005761B7">
        <w:rPr>
          <w:rFonts w:cstheme="minorHAnsi"/>
          <w:i/>
        </w:rPr>
        <w:t>Early Learning Community Action Guide</w:t>
      </w:r>
      <w:r w:rsidRPr="005761B7">
        <w:rPr>
          <w:rFonts w:cstheme="minorHAnsi"/>
        </w:rPr>
        <w:t xml:space="preserve"> was shared with colleagues at </w:t>
      </w:r>
      <w:r w:rsidR="006629FC" w:rsidRPr="005761B7">
        <w:rPr>
          <w:rFonts w:cstheme="minorHAnsi"/>
        </w:rPr>
        <w:t xml:space="preserve">seven </w:t>
      </w:r>
      <w:r w:rsidRPr="005761B7">
        <w:rPr>
          <w:rFonts w:cstheme="minorHAnsi"/>
        </w:rPr>
        <w:t xml:space="preserve">national partner organizations, who provided comments on what was already written and added action steps reflecting their own experiences. A revised draft reflecting those changes was shared with volunteers from </w:t>
      </w:r>
      <w:r w:rsidR="006629FC" w:rsidRPr="005761B7">
        <w:rPr>
          <w:rFonts w:cstheme="minorHAnsi"/>
        </w:rPr>
        <w:t xml:space="preserve">11 </w:t>
      </w:r>
      <w:r w:rsidRPr="005761B7">
        <w:rPr>
          <w:rFonts w:cstheme="minorHAnsi"/>
        </w:rPr>
        <w:t>communities, who again gave feedback on the extant content and suggested additions.</w:t>
      </w:r>
      <w:r w:rsidR="00A26EF9" w:rsidRPr="005761B7">
        <w:rPr>
          <w:rFonts w:cstheme="minorHAnsi"/>
        </w:rPr>
        <w:t xml:space="preserve"> </w:t>
      </w:r>
    </w:p>
    <w:p w14:paraId="5994D7C0" w14:textId="676D9821" w:rsidR="00C03383" w:rsidRPr="005761B7" w:rsidRDefault="002C495E" w:rsidP="00BA0462">
      <w:pPr>
        <w:rPr>
          <w:rFonts w:cstheme="minorHAnsi"/>
        </w:rPr>
      </w:pPr>
      <w:r w:rsidRPr="005761B7">
        <w:rPr>
          <w:rFonts w:cstheme="minorHAnsi"/>
        </w:rPr>
        <w:t xml:space="preserve">Our partners in four communities – </w:t>
      </w:r>
      <w:r w:rsidR="00BA0462" w:rsidRPr="005761B7">
        <w:rPr>
          <w:rFonts w:cstheme="minorHAnsi"/>
        </w:rPr>
        <w:t>First Steps Kent County (MI); Housing Partnership, Inc. and the Children’s Services Council of Palm Beach County (FL); the Pittsburgh Association for the Education of Young Children (PA); and United Inner City Services of Kansas City (MO)</w:t>
      </w:r>
      <w:r w:rsidRPr="005761B7">
        <w:rPr>
          <w:rFonts w:cstheme="minorHAnsi"/>
        </w:rPr>
        <w:t xml:space="preserve"> – hosted parent focus groups in May 2017, eliciting feedback on the parent engagement content of the </w:t>
      </w:r>
      <w:r w:rsidRPr="005761B7">
        <w:rPr>
          <w:rFonts w:cstheme="minorHAnsi"/>
          <w:i/>
        </w:rPr>
        <w:t>Early Learning Community Action Guide</w:t>
      </w:r>
      <w:r w:rsidRPr="005761B7">
        <w:rPr>
          <w:rFonts w:cstheme="minorHAnsi"/>
        </w:rPr>
        <w:t xml:space="preserve"> in particular. Across these locations, 24 parents shared their </w:t>
      </w:r>
      <w:r w:rsidR="00BA0462" w:rsidRPr="005761B7">
        <w:rPr>
          <w:rFonts w:cstheme="minorHAnsi"/>
        </w:rPr>
        <w:t>perspective</w:t>
      </w:r>
      <w:r w:rsidR="00864267">
        <w:rPr>
          <w:rFonts w:cstheme="minorHAnsi"/>
        </w:rPr>
        <w:t>s</w:t>
      </w:r>
      <w:r w:rsidR="00BA0462" w:rsidRPr="005761B7">
        <w:rPr>
          <w:rFonts w:cstheme="minorHAnsi"/>
        </w:rPr>
        <w:t xml:space="preserve">, their </w:t>
      </w:r>
      <w:r w:rsidRPr="005761B7">
        <w:rPr>
          <w:rFonts w:cstheme="minorHAnsi"/>
        </w:rPr>
        <w:t xml:space="preserve">reactions </w:t>
      </w:r>
      <w:r w:rsidR="00BA0462" w:rsidRPr="005761B7">
        <w:rPr>
          <w:rFonts w:cstheme="minorHAnsi"/>
        </w:rPr>
        <w:t xml:space="preserve">to the draft </w:t>
      </w:r>
      <w:r w:rsidRPr="005761B7">
        <w:rPr>
          <w:rFonts w:cstheme="minorHAnsi"/>
        </w:rPr>
        <w:t xml:space="preserve">and </w:t>
      </w:r>
      <w:r w:rsidR="00BA0462" w:rsidRPr="005761B7">
        <w:rPr>
          <w:rFonts w:cstheme="minorHAnsi"/>
        </w:rPr>
        <w:t xml:space="preserve">their </w:t>
      </w:r>
      <w:r w:rsidRPr="005761B7">
        <w:rPr>
          <w:rFonts w:cstheme="minorHAnsi"/>
        </w:rPr>
        <w:t xml:space="preserve">suggestions for additional action steps for decision-makers to better engage parents and other family members in the critical work of becoming an Early Learning Community. </w:t>
      </w:r>
    </w:p>
    <w:p w14:paraId="3E25B5F2" w14:textId="6C57D2D7" w:rsidR="00A26EF9" w:rsidRPr="005761B7" w:rsidRDefault="00BA0462" w:rsidP="00BA0462">
      <w:pPr>
        <w:rPr>
          <w:rFonts w:cstheme="minorHAnsi"/>
        </w:rPr>
      </w:pPr>
      <w:r w:rsidRPr="005761B7">
        <w:rPr>
          <w:rFonts w:cstheme="minorHAnsi"/>
        </w:rPr>
        <w:t xml:space="preserve">With all of that feedback incorporated, the </w:t>
      </w:r>
      <w:r w:rsidRPr="005761B7">
        <w:rPr>
          <w:rFonts w:cstheme="minorHAnsi"/>
          <w:i/>
        </w:rPr>
        <w:t xml:space="preserve">Early Learning Community Action Guide </w:t>
      </w:r>
      <w:r w:rsidRPr="005761B7">
        <w:rPr>
          <w:rFonts w:cstheme="minorHAnsi"/>
        </w:rPr>
        <w:t xml:space="preserve">was designed for distribution and shared with partner communities in summer of 2017. Twelve communities volunteered to pilot using the </w:t>
      </w:r>
      <w:r w:rsidRPr="005761B7">
        <w:rPr>
          <w:rFonts w:cstheme="minorHAnsi"/>
          <w:i/>
        </w:rPr>
        <w:t>Action Guide</w:t>
      </w:r>
      <w:r w:rsidRPr="005761B7">
        <w:rPr>
          <w:rFonts w:cstheme="minorHAnsi"/>
        </w:rPr>
        <w:t xml:space="preserve"> and its companion Progress Rating Tool. A wide range of communities </w:t>
      </w:r>
      <w:r w:rsidR="006629FC" w:rsidRPr="005761B7">
        <w:rPr>
          <w:rFonts w:cstheme="minorHAnsi"/>
        </w:rPr>
        <w:t>we</w:t>
      </w:r>
      <w:r w:rsidRPr="005761B7">
        <w:rPr>
          <w:rFonts w:cstheme="minorHAnsi"/>
        </w:rPr>
        <w:t>re involved in the pilot, from rural to urban</w:t>
      </w:r>
      <w:r w:rsidR="00A26EF9" w:rsidRPr="005761B7">
        <w:rPr>
          <w:rFonts w:cstheme="minorHAnsi"/>
        </w:rPr>
        <w:t xml:space="preserve"> and from across the country. Most impor</w:t>
      </w:r>
      <w:r w:rsidR="00864267">
        <w:rPr>
          <w:rFonts w:cstheme="minorHAnsi"/>
        </w:rPr>
        <w:t>tantly, the pilot group included</w:t>
      </w:r>
      <w:r w:rsidR="00A26EF9" w:rsidRPr="005761B7">
        <w:rPr>
          <w:rFonts w:cstheme="minorHAnsi"/>
        </w:rPr>
        <w:t xml:space="preserve"> some communities that </w:t>
      </w:r>
      <w:r w:rsidR="00864267">
        <w:rPr>
          <w:rFonts w:cstheme="minorHAnsi"/>
        </w:rPr>
        <w:t>we</w:t>
      </w:r>
      <w:r w:rsidRPr="005761B7">
        <w:rPr>
          <w:rFonts w:cstheme="minorHAnsi"/>
        </w:rPr>
        <w:t xml:space="preserve">re just beginning to organize key stakeholders to focus on early childhood, </w:t>
      </w:r>
      <w:r w:rsidR="00A26EF9" w:rsidRPr="005761B7">
        <w:rPr>
          <w:rFonts w:cstheme="minorHAnsi"/>
        </w:rPr>
        <w:t xml:space="preserve">and others </w:t>
      </w:r>
      <w:r w:rsidRPr="005761B7">
        <w:rPr>
          <w:rFonts w:cstheme="minorHAnsi"/>
        </w:rPr>
        <w:t xml:space="preserve">that already </w:t>
      </w:r>
      <w:r w:rsidR="00864267">
        <w:rPr>
          <w:rFonts w:cstheme="minorHAnsi"/>
        </w:rPr>
        <w:t>had</w:t>
      </w:r>
      <w:r w:rsidRPr="005761B7">
        <w:rPr>
          <w:rFonts w:cstheme="minorHAnsi"/>
        </w:rPr>
        <w:t xml:space="preserve"> strong early childhood systems but were looking for new tools to help them broaden their focus or be more accountable to </w:t>
      </w:r>
      <w:r w:rsidR="00A26EF9" w:rsidRPr="005761B7">
        <w:rPr>
          <w:rFonts w:cstheme="minorHAnsi"/>
        </w:rPr>
        <w:t xml:space="preserve">shared outcomes. </w:t>
      </w:r>
    </w:p>
    <w:p w14:paraId="70D0E335" w14:textId="39D26E19" w:rsidR="00C03383" w:rsidRPr="005761B7" w:rsidRDefault="00A26EF9">
      <w:pPr>
        <w:rPr>
          <w:rFonts w:cstheme="minorHAnsi"/>
        </w:rPr>
      </w:pPr>
      <w:r w:rsidRPr="005761B7">
        <w:rPr>
          <w:rFonts w:cstheme="minorHAnsi"/>
        </w:rPr>
        <w:t xml:space="preserve">The pilot communities’ </w:t>
      </w:r>
      <w:r w:rsidR="00BA0462" w:rsidRPr="005761B7">
        <w:rPr>
          <w:rFonts w:cstheme="minorHAnsi"/>
        </w:rPr>
        <w:t xml:space="preserve">experiences putting </w:t>
      </w:r>
      <w:r w:rsidRPr="005761B7">
        <w:rPr>
          <w:rFonts w:cstheme="minorHAnsi"/>
        </w:rPr>
        <w:t xml:space="preserve">the </w:t>
      </w:r>
      <w:r w:rsidRPr="005761B7">
        <w:rPr>
          <w:rFonts w:cstheme="minorHAnsi"/>
          <w:i/>
        </w:rPr>
        <w:t>Early Learning Community Action Guide</w:t>
      </w:r>
      <w:r w:rsidRPr="005761B7">
        <w:rPr>
          <w:rFonts w:cstheme="minorHAnsi"/>
        </w:rPr>
        <w:t xml:space="preserve"> </w:t>
      </w:r>
      <w:r w:rsidR="00BA0462" w:rsidRPr="005761B7">
        <w:rPr>
          <w:rFonts w:cstheme="minorHAnsi"/>
        </w:rPr>
        <w:t>into practice inform</w:t>
      </w:r>
      <w:r w:rsidR="00864267">
        <w:rPr>
          <w:rFonts w:cstheme="minorHAnsi"/>
        </w:rPr>
        <w:t>ed</w:t>
      </w:r>
      <w:r w:rsidR="00BA0462" w:rsidRPr="005761B7">
        <w:rPr>
          <w:rFonts w:cstheme="minorHAnsi"/>
        </w:rPr>
        <w:t xml:space="preserve"> final revisions to the</w:t>
      </w:r>
      <w:r w:rsidR="00864267">
        <w:rPr>
          <w:rFonts w:cstheme="minorHAnsi"/>
        </w:rPr>
        <w:t xml:space="preserve"> building blocks framework and the</w:t>
      </w:r>
      <w:r w:rsidR="00BA0462" w:rsidRPr="005761B7">
        <w:rPr>
          <w:rFonts w:cstheme="minorHAnsi"/>
        </w:rPr>
        <w:t xml:space="preserve"> content</w:t>
      </w:r>
      <w:r w:rsidR="00864267">
        <w:rPr>
          <w:rFonts w:cstheme="minorHAnsi"/>
        </w:rPr>
        <w:t xml:space="preserve"> of the </w:t>
      </w:r>
      <w:r w:rsidR="00864267" w:rsidRPr="00864267">
        <w:rPr>
          <w:rFonts w:cstheme="minorHAnsi"/>
          <w:i/>
        </w:rPr>
        <w:t>Action Guide</w:t>
      </w:r>
      <w:r w:rsidR="00864267">
        <w:rPr>
          <w:rFonts w:cstheme="minorHAnsi"/>
        </w:rPr>
        <w:t>,</w:t>
      </w:r>
      <w:r w:rsidR="00BA0462" w:rsidRPr="005761B7">
        <w:rPr>
          <w:rFonts w:cstheme="minorHAnsi"/>
        </w:rPr>
        <w:t xml:space="preserve"> as well as the development of additional</w:t>
      </w:r>
      <w:r w:rsidRPr="005761B7">
        <w:rPr>
          <w:rFonts w:cstheme="minorHAnsi"/>
        </w:rPr>
        <w:t xml:space="preserve"> guidance for other communities. In 2018, </w:t>
      </w:r>
      <w:r w:rsidR="00864267">
        <w:rPr>
          <w:rFonts w:cstheme="minorHAnsi"/>
        </w:rPr>
        <w:t xml:space="preserve">the </w:t>
      </w:r>
      <w:r w:rsidRPr="005761B7">
        <w:rPr>
          <w:rFonts w:cstheme="minorHAnsi"/>
          <w:i/>
        </w:rPr>
        <w:t xml:space="preserve">Early Learning Community Action Guide </w:t>
      </w:r>
      <w:r w:rsidRPr="005761B7">
        <w:rPr>
          <w:rFonts w:cstheme="minorHAnsi"/>
        </w:rPr>
        <w:t xml:space="preserve">and Progress Rating Tool </w:t>
      </w:r>
      <w:r w:rsidR="00864267">
        <w:rPr>
          <w:rFonts w:cstheme="minorHAnsi"/>
        </w:rPr>
        <w:t xml:space="preserve">were finalized. Work is underway to share the contents of the </w:t>
      </w:r>
      <w:r w:rsidR="00864267" w:rsidRPr="00864267">
        <w:rPr>
          <w:rFonts w:cstheme="minorHAnsi"/>
          <w:i/>
        </w:rPr>
        <w:t>Action Guide</w:t>
      </w:r>
      <w:r w:rsidR="00864267">
        <w:rPr>
          <w:rFonts w:cstheme="minorHAnsi"/>
        </w:rPr>
        <w:t xml:space="preserve"> and the Progress Rating Tool in an interactive, online format to engage </w:t>
      </w:r>
      <w:r w:rsidRPr="005761B7">
        <w:rPr>
          <w:rFonts w:cstheme="minorHAnsi"/>
        </w:rPr>
        <w:t xml:space="preserve">additional communities </w:t>
      </w:r>
      <w:r w:rsidR="00864267">
        <w:rPr>
          <w:rFonts w:cstheme="minorHAnsi"/>
        </w:rPr>
        <w:t>in becoming</w:t>
      </w:r>
      <w:r w:rsidRPr="005761B7">
        <w:rPr>
          <w:rFonts w:cstheme="minorHAnsi"/>
        </w:rPr>
        <w:t xml:space="preserve"> Early Learning Communities.</w:t>
      </w:r>
      <w:r w:rsidRPr="005761B7">
        <w:rPr>
          <w:rFonts w:cstheme="minorHAnsi"/>
          <w:i/>
        </w:rPr>
        <w:t xml:space="preserve"> </w:t>
      </w:r>
    </w:p>
    <w:p w14:paraId="18A96BFB" w14:textId="77777777" w:rsidR="00A26EF9" w:rsidRPr="005761B7" w:rsidRDefault="00A26EF9">
      <w:pPr>
        <w:rPr>
          <w:rFonts w:cstheme="minorHAnsi"/>
        </w:rPr>
      </w:pPr>
      <w:r w:rsidRPr="005761B7">
        <w:rPr>
          <w:rFonts w:cstheme="minorHAnsi"/>
        </w:rPr>
        <w:br w:type="page"/>
      </w:r>
    </w:p>
    <w:p w14:paraId="3C342257" w14:textId="5AB619FC" w:rsidR="005D1FB0" w:rsidRPr="00550B8A" w:rsidRDefault="00550B8A" w:rsidP="00550B8A">
      <w:pPr>
        <w:pStyle w:val="Heading2"/>
        <w:ind w:right="880"/>
        <w:jc w:val="center"/>
        <w:rPr>
          <w:rFonts w:ascii="Cambria" w:eastAsiaTheme="minorHAnsi" w:hAnsi="Cambria" w:cstheme="minorHAnsi"/>
          <w:b/>
          <w:color w:val="BB4525"/>
          <w:sz w:val="22"/>
          <w:szCs w:val="22"/>
        </w:rPr>
      </w:pPr>
      <w:r>
        <w:rPr>
          <w:rFonts w:cstheme="minorHAnsi"/>
          <w:noProof/>
        </w:rPr>
        <w:lastRenderedPageBreak/>
        <w:drawing>
          <wp:anchor distT="0" distB="0" distL="114300" distR="114300" simplePos="0" relativeHeight="251666432" behindDoc="0" locked="0" layoutInCell="1" allowOverlap="1" wp14:anchorId="542637FB" wp14:editId="4BE4A244">
            <wp:simplePos x="0" y="0"/>
            <wp:positionH relativeFrom="margin">
              <wp:align>right</wp:align>
            </wp:positionH>
            <wp:positionV relativeFrom="paragraph">
              <wp:posOffset>6350</wp:posOffset>
            </wp:positionV>
            <wp:extent cx="1055370" cy="2533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B stack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5370" cy="2533650"/>
                    </a:xfrm>
                    <a:prstGeom prst="rect">
                      <a:avLst/>
                    </a:prstGeom>
                  </pic:spPr>
                </pic:pic>
              </a:graphicData>
            </a:graphic>
          </wp:anchor>
        </w:drawing>
      </w:r>
      <w:r w:rsidR="005D1FB0" w:rsidRPr="00550B8A">
        <w:rPr>
          <w:rFonts w:ascii="Cambria" w:eastAsiaTheme="minorHAnsi" w:hAnsi="Cambria" w:cstheme="minorHAnsi"/>
          <w:b/>
          <w:color w:val="BB4525"/>
          <w:sz w:val="22"/>
          <w:szCs w:val="22"/>
        </w:rPr>
        <w:t>Timeline</w:t>
      </w:r>
    </w:p>
    <w:p w14:paraId="36E9618A" w14:textId="117543C8" w:rsidR="00362269" w:rsidRPr="005761B7" w:rsidRDefault="00362269">
      <w:pPr>
        <w:rPr>
          <w:rFonts w:cstheme="minorHAnsi"/>
          <w:b/>
        </w:rPr>
      </w:pPr>
      <w:r w:rsidRPr="005761B7">
        <w:rPr>
          <w:rFonts w:cstheme="minorHAnsi"/>
          <w:b/>
        </w:rPr>
        <w:t xml:space="preserve">Foundational Work </w:t>
      </w:r>
    </w:p>
    <w:p w14:paraId="03A506AC" w14:textId="1F6C8832" w:rsidR="00362269" w:rsidRPr="005761B7" w:rsidRDefault="00362269" w:rsidP="00362269">
      <w:pPr>
        <w:ind w:left="360"/>
        <w:rPr>
          <w:rFonts w:cstheme="minorHAnsi"/>
        </w:rPr>
      </w:pPr>
      <w:r w:rsidRPr="005761B7">
        <w:rPr>
          <w:rFonts w:cstheme="minorHAnsi"/>
        </w:rPr>
        <w:t>CSSP’s Strengthening Families initiative began in 2001</w:t>
      </w:r>
    </w:p>
    <w:p w14:paraId="21B1AE52" w14:textId="21FA6C77" w:rsidR="00362269" w:rsidRPr="005761B7" w:rsidRDefault="00362269" w:rsidP="00362269">
      <w:pPr>
        <w:ind w:left="360"/>
        <w:rPr>
          <w:rFonts w:cstheme="minorHAnsi"/>
        </w:rPr>
      </w:pPr>
      <w:r w:rsidRPr="005761B7">
        <w:rPr>
          <w:rFonts w:cstheme="minorHAnsi"/>
        </w:rPr>
        <w:t>NLC released the Elements of Educational Alignment in 2012</w:t>
      </w:r>
    </w:p>
    <w:p w14:paraId="3879568F" w14:textId="6EFDA49A" w:rsidR="00362269" w:rsidRPr="005761B7" w:rsidRDefault="00362269" w:rsidP="00362269">
      <w:pPr>
        <w:rPr>
          <w:rFonts w:cstheme="minorHAnsi"/>
          <w:b/>
        </w:rPr>
      </w:pPr>
      <w:r w:rsidRPr="005761B7">
        <w:rPr>
          <w:rFonts w:cstheme="minorHAnsi"/>
          <w:b/>
        </w:rPr>
        <w:t>2014</w:t>
      </w:r>
    </w:p>
    <w:p w14:paraId="691BEA6F" w14:textId="1D31DC74" w:rsidR="00362269" w:rsidRPr="005761B7" w:rsidRDefault="00362269" w:rsidP="00362269">
      <w:pPr>
        <w:ind w:left="360"/>
        <w:rPr>
          <w:rFonts w:cstheme="minorHAnsi"/>
        </w:rPr>
      </w:pPr>
      <w:r w:rsidRPr="005761B7">
        <w:rPr>
          <w:rFonts w:cstheme="minorHAnsi"/>
        </w:rPr>
        <w:t xml:space="preserve">Early Childhood Learning and Innovation Network for Communities (EC-LINC) </w:t>
      </w:r>
      <w:r w:rsidR="00550B8A">
        <w:rPr>
          <w:rFonts w:cstheme="minorHAnsi"/>
        </w:rPr>
        <w:br/>
      </w:r>
      <w:r w:rsidRPr="005761B7">
        <w:rPr>
          <w:rFonts w:cstheme="minorHAnsi"/>
        </w:rPr>
        <w:t>convened by CSSP and local partners</w:t>
      </w:r>
    </w:p>
    <w:p w14:paraId="3FDD54C4" w14:textId="77777777" w:rsidR="00362269" w:rsidRPr="005761B7" w:rsidRDefault="00362269" w:rsidP="00362269">
      <w:pPr>
        <w:ind w:left="-23"/>
        <w:rPr>
          <w:rFonts w:cstheme="minorHAnsi"/>
          <w:b/>
        </w:rPr>
      </w:pPr>
      <w:r w:rsidRPr="005761B7">
        <w:rPr>
          <w:rFonts w:cstheme="minorHAnsi"/>
          <w:b/>
        </w:rPr>
        <w:t>2015</w:t>
      </w:r>
    </w:p>
    <w:p w14:paraId="09BE1145" w14:textId="1EFA9566" w:rsidR="00362269" w:rsidRPr="005761B7" w:rsidRDefault="00362269" w:rsidP="00362269">
      <w:pPr>
        <w:ind w:left="360"/>
        <w:rPr>
          <w:rFonts w:cstheme="minorHAnsi"/>
        </w:rPr>
      </w:pPr>
      <w:r w:rsidRPr="005761B7">
        <w:rPr>
          <w:rFonts w:cstheme="minorHAnsi"/>
        </w:rPr>
        <w:t>CSSP and NLC receive Early Learning Nation funding from the Bezos Family Foundation</w:t>
      </w:r>
    </w:p>
    <w:p w14:paraId="5BA93571" w14:textId="0D98B3BE" w:rsidR="00362269" w:rsidRPr="005761B7" w:rsidRDefault="00362269" w:rsidP="00362269">
      <w:pPr>
        <w:ind w:left="360"/>
        <w:rPr>
          <w:rFonts w:cstheme="minorHAnsi"/>
        </w:rPr>
      </w:pPr>
      <w:r w:rsidRPr="005761B7">
        <w:rPr>
          <w:rFonts w:cstheme="minorHAnsi"/>
        </w:rPr>
        <w:t>NLC recruits seven cities to its City Leadership for an Early Learning Nation (ELN) cohort</w:t>
      </w:r>
    </w:p>
    <w:p w14:paraId="7E936375" w14:textId="7B5AF440" w:rsidR="00362269" w:rsidRPr="005761B7" w:rsidRDefault="00362269" w:rsidP="00362269">
      <w:pPr>
        <w:ind w:left="360"/>
        <w:rPr>
          <w:rFonts w:cstheme="minorHAnsi"/>
        </w:rPr>
      </w:pPr>
      <w:r w:rsidRPr="005761B7">
        <w:rPr>
          <w:rFonts w:cstheme="minorHAnsi"/>
        </w:rPr>
        <w:t xml:space="preserve">CSSP launches an EC-LINC Learning Lab focused on what it takes to be an Early Learning Community. </w:t>
      </w:r>
      <w:r w:rsidR="00812673" w:rsidRPr="005761B7">
        <w:rPr>
          <w:rFonts w:cstheme="minorHAnsi"/>
        </w:rPr>
        <w:t xml:space="preserve">Representatives from </w:t>
      </w:r>
      <w:r w:rsidR="006629FC" w:rsidRPr="005761B7">
        <w:rPr>
          <w:rFonts w:cstheme="minorHAnsi"/>
        </w:rPr>
        <w:t xml:space="preserve">seven </w:t>
      </w:r>
      <w:r w:rsidR="00812673" w:rsidRPr="005761B7">
        <w:rPr>
          <w:rFonts w:cstheme="minorHAnsi"/>
        </w:rPr>
        <w:t>c</w:t>
      </w:r>
      <w:r w:rsidRPr="005761B7">
        <w:rPr>
          <w:rFonts w:cstheme="minorHAnsi"/>
        </w:rPr>
        <w:t xml:space="preserve">ommunities take part in </w:t>
      </w:r>
      <w:r w:rsidR="00812673" w:rsidRPr="005761B7">
        <w:rPr>
          <w:rFonts w:cstheme="minorHAnsi"/>
        </w:rPr>
        <w:t xml:space="preserve">seven </w:t>
      </w:r>
      <w:r w:rsidRPr="005761B7">
        <w:rPr>
          <w:rFonts w:cstheme="minorHAnsi"/>
        </w:rPr>
        <w:t>conference calls</w:t>
      </w:r>
      <w:r w:rsidR="006629FC" w:rsidRPr="005761B7">
        <w:rPr>
          <w:rFonts w:cstheme="minorHAnsi"/>
        </w:rPr>
        <w:t xml:space="preserve"> and develop the building blocks of early learning communities</w:t>
      </w:r>
    </w:p>
    <w:p w14:paraId="15B04786" w14:textId="43E3896A" w:rsidR="00091C57" w:rsidRPr="005761B7" w:rsidRDefault="00362269">
      <w:pPr>
        <w:rPr>
          <w:rFonts w:cstheme="minorHAnsi"/>
          <w:b/>
        </w:rPr>
      </w:pPr>
      <w:r w:rsidRPr="005761B7">
        <w:rPr>
          <w:rFonts w:cstheme="minorHAnsi"/>
          <w:b/>
        </w:rPr>
        <w:t>2016</w:t>
      </w:r>
    </w:p>
    <w:p w14:paraId="3789C6D2" w14:textId="6E341F0A" w:rsidR="00362269" w:rsidRPr="005761B7" w:rsidRDefault="00362269" w:rsidP="00362269">
      <w:pPr>
        <w:ind w:left="360"/>
        <w:rPr>
          <w:rFonts w:cstheme="minorHAnsi"/>
        </w:rPr>
      </w:pPr>
      <w:r w:rsidRPr="005761B7">
        <w:rPr>
          <w:rFonts w:cstheme="minorHAnsi"/>
        </w:rPr>
        <w:t xml:space="preserve">CSSP releases </w:t>
      </w:r>
      <w:r w:rsidRPr="005761B7">
        <w:rPr>
          <w:rFonts w:cstheme="minorHAnsi"/>
          <w:i/>
        </w:rPr>
        <w:t>Early Learning Communities: Building Blocks for Success</w:t>
      </w:r>
      <w:r w:rsidRPr="005761B7">
        <w:rPr>
          <w:rFonts w:cstheme="minorHAnsi"/>
        </w:rPr>
        <w:t xml:space="preserve">, informed by the Learning Lab and reviewed by representatives of </w:t>
      </w:r>
      <w:r w:rsidR="006629FC" w:rsidRPr="005761B7">
        <w:rPr>
          <w:rFonts w:cstheme="minorHAnsi"/>
        </w:rPr>
        <w:t xml:space="preserve">seven </w:t>
      </w:r>
      <w:r w:rsidRPr="005761B7">
        <w:rPr>
          <w:rFonts w:cstheme="minorHAnsi"/>
        </w:rPr>
        <w:t>EC-LINC communities</w:t>
      </w:r>
    </w:p>
    <w:p w14:paraId="38E80161" w14:textId="5450AE54" w:rsidR="00362269" w:rsidRPr="005761B7" w:rsidRDefault="00362269" w:rsidP="00362269">
      <w:pPr>
        <w:ind w:left="360"/>
        <w:rPr>
          <w:rFonts w:cstheme="minorHAnsi"/>
        </w:rPr>
      </w:pPr>
      <w:r w:rsidRPr="005761B7">
        <w:rPr>
          <w:rFonts w:cstheme="minorHAnsi"/>
        </w:rPr>
        <w:t xml:space="preserve">CSSP and NLC begin drafting the </w:t>
      </w:r>
      <w:r w:rsidRPr="005761B7">
        <w:rPr>
          <w:rFonts w:cstheme="minorHAnsi"/>
          <w:i/>
        </w:rPr>
        <w:t>Early Learning Community Action Guide</w:t>
      </w:r>
      <w:r w:rsidRPr="005761B7">
        <w:rPr>
          <w:rFonts w:cstheme="minorHAnsi"/>
        </w:rPr>
        <w:t xml:space="preserve"> and Progress Rating Tool, articulating levels and concrete actions for each of the building blocks</w:t>
      </w:r>
    </w:p>
    <w:p w14:paraId="7C2FB8BE" w14:textId="463D6A83" w:rsidR="00362269" w:rsidRPr="005761B7" w:rsidRDefault="00362269" w:rsidP="00362269">
      <w:pPr>
        <w:rPr>
          <w:rFonts w:cstheme="minorHAnsi"/>
          <w:b/>
        </w:rPr>
      </w:pPr>
      <w:r w:rsidRPr="005761B7">
        <w:rPr>
          <w:rFonts w:cstheme="minorHAnsi"/>
          <w:b/>
        </w:rPr>
        <w:t>2017</w:t>
      </w:r>
    </w:p>
    <w:p w14:paraId="32EEC657" w14:textId="50BE59E5" w:rsidR="00362269" w:rsidRPr="005761B7" w:rsidRDefault="00362269" w:rsidP="00362269">
      <w:pPr>
        <w:ind w:left="360"/>
        <w:rPr>
          <w:rFonts w:cstheme="minorHAnsi"/>
        </w:rPr>
      </w:pPr>
      <w:r w:rsidRPr="005761B7">
        <w:rPr>
          <w:rFonts w:cstheme="minorHAnsi"/>
        </w:rPr>
        <w:t xml:space="preserve">Early drafts of the </w:t>
      </w:r>
      <w:r w:rsidR="00812673" w:rsidRPr="005761B7">
        <w:rPr>
          <w:rFonts w:cstheme="minorHAnsi"/>
          <w:i/>
        </w:rPr>
        <w:t xml:space="preserve">Early Learning Community </w:t>
      </w:r>
      <w:r w:rsidRPr="005761B7">
        <w:rPr>
          <w:rFonts w:cstheme="minorHAnsi"/>
          <w:i/>
        </w:rPr>
        <w:t>Action Guide</w:t>
      </w:r>
      <w:r w:rsidRPr="005761B7">
        <w:rPr>
          <w:rFonts w:cstheme="minorHAnsi"/>
        </w:rPr>
        <w:t xml:space="preserve"> </w:t>
      </w:r>
      <w:r w:rsidR="00FF3EED" w:rsidRPr="005761B7">
        <w:rPr>
          <w:rFonts w:cstheme="minorHAnsi"/>
        </w:rPr>
        <w:t>are</w:t>
      </w:r>
      <w:r w:rsidRPr="005761B7">
        <w:rPr>
          <w:rFonts w:cstheme="minorHAnsi"/>
        </w:rPr>
        <w:t xml:space="preserve"> reviewed by </w:t>
      </w:r>
      <w:r w:rsidR="006629FC" w:rsidRPr="005761B7">
        <w:rPr>
          <w:rFonts w:cstheme="minorHAnsi"/>
        </w:rPr>
        <w:t>seven</w:t>
      </w:r>
      <w:r w:rsidRPr="005761B7">
        <w:rPr>
          <w:rFonts w:cstheme="minorHAnsi"/>
        </w:rPr>
        <w:t xml:space="preserve"> national partner organizations</w:t>
      </w:r>
      <w:r w:rsidR="006629FC" w:rsidRPr="005761B7">
        <w:rPr>
          <w:rFonts w:cstheme="minorHAnsi"/>
        </w:rPr>
        <w:t xml:space="preserve">, </w:t>
      </w:r>
      <w:r w:rsidR="00812673" w:rsidRPr="005761B7">
        <w:rPr>
          <w:rFonts w:cstheme="minorHAnsi"/>
        </w:rPr>
        <w:t>11</w:t>
      </w:r>
      <w:r w:rsidRPr="005761B7">
        <w:rPr>
          <w:rFonts w:cstheme="minorHAnsi"/>
        </w:rPr>
        <w:t xml:space="preserve"> representatives from EC-LINC and the NLC cohort</w:t>
      </w:r>
      <w:r w:rsidR="006629FC" w:rsidRPr="005761B7">
        <w:rPr>
          <w:rFonts w:cstheme="minorHAnsi"/>
        </w:rPr>
        <w:t xml:space="preserve"> and content experts at CSSP and NLC</w:t>
      </w:r>
    </w:p>
    <w:p w14:paraId="0D3BD6FE" w14:textId="1FA5C61C" w:rsidR="00362269" w:rsidRPr="005761B7" w:rsidRDefault="00362269" w:rsidP="00362269">
      <w:pPr>
        <w:ind w:left="360"/>
        <w:rPr>
          <w:rFonts w:cstheme="minorHAnsi"/>
        </w:rPr>
      </w:pPr>
      <w:r w:rsidRPr="005761B7">
        <w:rPr>
          <w:rFonts w:cstheme="minorHAnsi"/>
        </w:rPr>
        <w:t xml:space="preserve">Parent focus groups </w:t>
      </w:r>
      <w:r w:rsidR="00FF3EED" w:rsidRPr="005761B7">
        <w:rPr>
          <w:rFonts w:cstheme="minorHAnsi"/>
        </w:rPr>
        <w:t xml:space="preserve">are </w:t>
      </w:r>
      <w:r w:rsidRPr="005761B7">
        <w:rPr>
          <w:rFonts w:cstheme="minorHAnsi"/>
        </w:rPr>
        <w:t>held in four cities to give feedback on the parent engagement content of the ELC Action Guide, with 24 parents participating</w:t>
      </w:r>
    </w:p>
    <w:p w14:paraId="1B785ABD" w14:textId="4AD3A586" w:rsidR="00362269" w:rsidRDefault="00FF3EED" w:rsidP="00362269">
      <w:pPr>
        <w:ind w:left="360"/>
        <w:rPr>
          <w:rFonts w:cstheme="minorHAnsi"/>
        </w:rPr>
      </w:pPr>
      <w:r w:rsidRPr="005761B7">
        <w:rPr>
          <w:rFonts w:cstheme="minorHAnsi"/>
        </w:rPr>
        <w:t>13 communities volunteer</w:t>
      </w:r>
      <w:r w:rsidR="00362269" w:rsidRPr="005761B7">
        <w:rPr>
          <w:rFonts w:cstheme="minorHAnsi"/>
        </w:rPr>
        <w:t xml:space="preserve"> to pilot the </w:t>
      </w:r>
      <w:r w:rsidR="006629FC" w:rsidRPr="005761B7">
        <w:rPr>
          <w:rFonts w:cstheme="minorHAnsi"/>
          <w:i/>
        </w:rPr>
        <w:t xml:space="preserve">Early Learning Community </w:t>
      </w:r>
      <w:r w:rsidR="00362269" w:rsidRPr="005761B7">
        <w:rPr>
          <w:rFonts w:cstheme="minorHAnsi"/>
          <w:i/>
        </w:rPr>
        <w:t>Action Guide</w:t>
      </w:r>
      <w:r w:rsidR="00362269" w:rsidRPr="005761B7">
        <w:rPr>
          <w:rFonts w:cstheme="minorHAnsi"/>
        </w:rPr>
        <w:t xml:space="preserve"> and Progress Rating Tool, applying it to new or ongoing early childhood system-building work</w:t>
      </w:r>
      <w:r w:rsidR="006629FC" w:rsidRPr="005761B7">
        <w:rPr>
          <w:rFonts w:cstheme="minorHAnsi"/>
        </w:rPr>
        <w:t>, and provide feedback on the content and additional materials to inform other communities’ use of the tools</w:t>
      </w:r>
    </w:p>
    <w:p w14:paraId="1BE6DFB0" w14:textId="0175ED45" w:rsidR="00550B8A" w:rsidRPr="00550B8A" w:rsidRDefault="00550B8A" w:rsidP="00550B8A">
      <w:pPr>
        <w:rPr>
          <w:rFonts w:cstheme="minorHAnsi"/>
          <w:b/>
        </w:rPr>
      </w:pPr>
      <w:r w:rsidRPr="00550B8A">
        <w:rPr>
          <w:rFonts w:cstheme="minorHAnsi"/>
          <w:b/>
        </w:rPr>
        <w:t>2018</w:t>
      </w:r>
    </w:p>
    <w:p w14:paraId="03201944" w14:textId="66027A5F" w:rsidR="00550B8A" w:rsidRDefault="00550B8A" w:rsidP="00362269">
      <w:pPr>
        <w:ind w:left="360"/>
        <w:rPr>
          <w:rFonts w:cstheme="minorHAnsi"/>
        </w:rPr>
      </w:pPr>
      <w:r>
        <w:rPr>
          <w:rFonts w:cstheme="minorHAnsi"/>
        </w:rPr>
        <w:t xml:space="preserve">The </w:t>
      </w:r>
      <w:r w:rsidRPr="00550B8A">
        <w:rPr>
          <w:rFonts w:cstheme="minorHAnsi"/>
          <w:i/>
        </w:rPr>
        <w:t>Early Learning Community Action Guide</w:t>
      </w:r>
      <w:r>
        <w:rPr>
          <w:rFonts w:cstheme="minorHAnsi"/>
        </w:rPr>
        <w:t xml:space="preserve"> and Progress Rating Tool are revised and finalized based on the feedback from piloting communities. Additional materials and graphics are developed to support the dissemination of the materials.</w:t>
      </w:r>
    </w:p>
    <w:p w14:paraId="4F742D1B" w14:textId="62577D07" w:rsidR="00550B8A" w:rsidRPr="005761B7" w:rsidRDefault="00550B8A" w:rsidP="00362269">
      <w:pPr>
        <w:ind w:left="360"/>
        <w:rPr>
          <w:rFonts w:cstheme="minorHAnsi"/>
        </w:rPr>
      </w:pPr>
      <w:r>
        <w:rPr>
          <w:rFonts w:cstheme="minorHAnsi"/>
        </w:rPr>
        <w:t xml:space="preserve">Work is underway to develop an interactive, online treatment of the </w:t>
      </w:r>
      <w:r w:rsidRPr="00550B8A">
        <w:rPr>
          <w:rFonts w:cstheme="minorHAnsi"/>
          <w:i/>
        </w:rPr>
        <w:t>Early Learning Community Action Guide</w:t>
      </w:r>
      <w:r>
        <w:rPr>
          <w:rFonts w:cstheme="minorHAnsi"/>
        </w:rPr>
        <w:t xml:space="preserve"> and Progress Rating Tool.</w:t>
      </w:r>
    </w:p>
    <w:sectPr w:rsidR="00550B8A" w:rsidRPr="005761B7" w:rsidSect="00661B2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17C1" w14:textId="77777777" w:rsidR="00774942" w:rsidRDefault="00774942" w:rsidP="00FA5DE8">
      <w:pPr>
        <w:spacing w:after="0" w:line="240" w:lineRule="auto"/>
      </w:pPr>
      <w:r>
        <w:separator/>
      </w:r>
    </w:p>
  </w:endnote>
  <w:endnote w:type="continuationSeparator" w:id="0">
    <w:p w14:paraId="1C45C51B" w14:textId="77777777" w:rsidR="00774942" w:rsidRDefault="00774942" w:rsidP="00FA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6B75" w14:textId="47364DB7" w:rsidR="00870B78" w:rsidRDefault="00870B78" w:rsidP="00870B78">
    <w:pPr>
      <w:pStyle w:val="Footer"/>
      <w:pBdr>
        <w:top w:val="single" w:sz="4" w:space="1" w:color="auto"/>
      </w:pBdr>
      <w:rPr>
        <w:rFonts w:ascii="Cambria" w:hAnsi="Cambria"/>
        <w:sz w:val="20"/>
        <w:szCs w:val="20"/>
      </w:rPr>
    </w:pPr>
    <w:r>
      <w:rPr>
        <w:rFonts w:ascii="Cambria" w:hAnsi="Cambria"/>
        <w:sz w:val="20"/>
        <w:szCs w:val="20"/>
      </w:rPr>
      <w:tab/>
      <w:t>Learn more:</w:t>
    </w:r>
  </w:p>
  <w:p w14:paraId="058651E7" w14:textId="49178214" w:rsidR="00870B78" w:rsidRPr="00870B78" w:rsidRDefault="00870B78" w:rsidP="00870B78">
    <w:pPr>
      <w:pStyle w:val="Footer"/>
      <w:pBdr>
        <w:top w:val="single" w:sz="4" w:space="1" w:color="auto"/>
      </w:pBdr>
      <w:rPr>
        <w:rFonts w:ascii="Cambria" w:hAnsi="Cambria"/>
        <w:sz w:val="20"/>
        <w:szCs w:val="20"/>
      </w:rPr>
    </w:pPr>
    <w:hyperlink r:id="rId1" w:history="1">
      <w:r w:rsidRPr="00870B78">
        <w:rPr>
          <w:rStyle w:val="Hyperlink"/>
          <w:rFonts w:ascii="Cambria" w:hAnsi="Cambria"/>
          <w:sz w:val="20"/>
          <w:szCs w:val="20"/>
        </w:rPr>
        <w:t>www.cssp.org</w:t>
      </w:r>
    </w:hyperlink>
    <w:r w:rsidRPr="00870B78">
      <w:rPr>
        <w:rFonts w:ascii="Cambria" w:hAnsi="Cambria"/>
        <w:sz w:val="20"/>
        <w:szCs w:val="20"/>
      </w:rPr>
      <w:tab/>
    </w:r>
    <w:hyperlink r:id="rId2" w:history="1">
      <w:r w:rsidRPr="00870B78">
        <w:rPr>
          <w:rStyle w:val="Hyperlink"/>
          <w:rFonts w:ascii="Cambria" w:hAnsi="Cambria"/>
          <w:sz w:val="20"/>
          <w:szCs w:val="20"/>
        </w:rPr>
        <w:t>www.earlylearningnation.com</w:t>
      </w:r>
    </w:hyperlink>
    <w:r w:rsidRPr="00870B78">
      <w:rPr>
        <w:rFonts w:ascii="Cambria" w:hAnsi="Cambria"/>
        <w:sz w:val="20"/>
        <w:szCs w:val="20"/>
      </w:rPr>
      <w:tab/>
    </w:r>
    <w:hyperlink r:id="rId3" w:history="1">
      <w:r w:rsidRPr="00870B78">
        <w:rPr>
          <w:rStyle w:val="Hyperlink"/>
          <w:rFonts w:ascii="Cambria" w:hAnsi="Cambria"/>
          <w:sz w:val="20"/>
          <w:szCs w:val="20"/>
        </w:rPr>
        <w:t>www.nlc.org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5E5C" w14:textId="77777777" w:rsidR="00774942" w:rsidRDefault="00774942" w:rsidP="00FA5DE8">
      <w:pPr>
        <w:spacing w:after="0" w:line="240" w:lineRule="auto"/>
      </w:pPr>
      <w:r>
        <w:separator/>
      </w:r>
    </w:p>
  </w:footnote>
  <w:footnote w:type="continuationSeparator" w:id="0">
    <w:p w14:paraId="512311B2" w14:textId="77777777" w:rsidR="00774942" w:rsidRDefault="00774942" w:rsidP="00FA5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7B5B"/>
    <w:multiLevelType w:val="hybridMultilevel"/>
    <w:tmpl w:val="8A9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57"/>
    <w:rsid w:val="00091C57"/>
    <w:rsid w:val="00201A8D"/>
    <w:rsid w:val="00227796"/>
    <w:rsid w:val="002B2F6A"/>
    <w:rsid w:val="002C495E"/>
    <w:rsid w:val="00362269"/>
    <w:rsid w:val="004C6778"/>
    <w:rsid w:val="00507D55"/>
    <w:rsid w:val="00550B8A"/>
    <w:rsid w:val="005761B7"/>
    <w:rsid w:val="005D1FB0"/>
    <w:rsid w:val="00661B29"/>
    <w:rsid w:val="006629FC"/>
    <w:rsid w:val="00700642"/>
    <w:rsid w:val="00715E41"/>
    <w:rsid w:val="00774942"/>
    <w:rsid w:val="00812673"/>
    <w:rsid w:val="0082519C"/>
    <w:rsid w:val="008536A5"/>
    <w:rsid w:val="00864267"/>
    <w:rsid w:val="00870B78"/>
    <w:rsid w:val="00A23C29"/>
    <w:rsid w:val="00A26EF9"/>
    <w:rsid w:val="00A329DE"/>
    <w:rsid w:val="00B271D4"/>
    <w:rsid w:val="00B511B1"/>
    <w:rsid w:val="00B7345A"/>
    <w:rsid w:val="00BA0462"/>
    <w:rsid w:val="00C03383"/>
    <w:rsid w:val="00C34963"/>
    <w:rsid w:val="00E168E4"/>
    <w:rsid w:val="00FA5DE8"/>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22DE"/>
  <w15:chartTrackingRefBased/>
  <w15:docId w15:val="{1D6A92E1-3043-4649-8FEF-2EB19569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69"/>
  </w:style>
  <w:style w:type="paragraph" w:styleId="Heading2">
    <w:name w:val="heading 2"/>
    <w:basedOn w:val="Normal"/>
    <w:next w:val="Normal"/>
    <w:link w:val="Heading2Char"/>
    <w:uiPriority w:val="9"/>
    <w:unhideWhenUsed/>
    <w:qFormat/>
    <w:rsid w:val="00C03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F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383"/>
    <w:rPr>
      <w:color w:val="0563C1"/>
      <w:u w:val="single"/>
    </w:rPr>
  </w:style>
  <w:style w:type="character" w:customStyle="1" w:styleId="Heading2Char">
    <w:name w:val="Heading 2 Char"/>
    <w:basedOn w:val="DefaultParagraphFont"/>
    <w:link w:val="Heading2"/>
    <w:uiPriority w:val="9"/>
    <w:rsid w:val="00C0338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3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29DE"/>
    <w:rPr>
      <w:color w:val="954F72" w:themeColor="followedHyperlink"/>
      <w:u w:val="single"/>
    </w:rPr>
  </w:style>
  <w:style w:type="paragraph" w:styleId="ListParagraph">
    <w:name w:val="List Paragraph"/>
    <w:basedOn w:val="Normal"/>
    <w:uiPriority w:val="34"/>
    <w:qFormat/>
    <w:rsid w:val="00A329DE"/>
    <w:pPr>
      <w:ind w:left="720"/>
      <w:contextualSpacing/>
    </w:pPr>
  </w:style>
  <w:style w:type="character" w:customStyle="1" w:styleId="Heading3Char">
    <w:name w:val="Heading 3 Char"/>
    <w:basedOn w:val="DefaultParagraphFont"/>
    <w:link w:val="Heading3"/>
    <w:uiPriority w:val="9"/>
    <w:rsid w:val="005D1FB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D1FB0"/>
    <w:rPr>
      <w:sz w:val="16"/>
      <w:szCs w:val="16"/>
    </w:rPr>
  </w:style>
  <w:style w:type="paragraph" w:styleId="CommentText">
    <w:name w:val="annotation text"/>
    <w:basedOn w:val="Normal"/>
    <w:link w:val="CommentTextChar"/>
    <w:uiPriority w:val="99"/>
    <w:semiHidden/>
    <w:unhideWhenUsed/>
    <w:rsid w:val="005D1FB0"/>
    <w:pPr>
      <w:spacing w:line="240" w:lineRule="auto"/>
    </w:pPr>
    <w:rPr>
      <w:sz w:val="20"/>
      <w:szCs w:val="20"/>
    </w:rPr>
  </w:style>
  <w:style w:type="character" w:customStyle="1" w:styleId="CommentTextChar">
    <w:name w:val="Comment Text Char"/>
    <w:basedOn w:val="DefaultParagraphFont"/>
    <w:link w:val="CommentText"/>
    <w:uiPriority w:val="99"/>
    <w:semiHidden/>
    <w:rsid w:val="005D1FB0"/>
    <w:rPr>
      <w:sz w:val="20"/>
      <w:szCs w:val="20"/>
    </w:rPr>
  </w:style>
  <w:style w:type="paragraph" w:styleId="CommentSubject">
    <w:name w:val="annotation subject"/>
    <w:basedOn w:val="CommentText"/>
    <w:next w:val="CommentText"/>
    <w:link w:val="CommentSubjectChar"/>
    <w:uiPriority w:val="99"/>
    <w:semiHidden/>
    <w:unhideWhenUsed/>
    <w:rsid w:val="005D1FB0"/>
    <w:rPr>
      <w:b/>
      <w:bCs/>
    </w:rPr>
  </w:style>
  <w:style w:type="character" w:customStyle="1" w:styleId="CommentSubjectChar">
    <w:name w:val="Comment Subject Char"/>
    <w:basedOn w:val="CommentTextChar"/>
    <w:link w:val="CommentSubject"/>
    <w:uiPriority w:val="99"/>
    <w:semiHidden/>
    <w:rsid w:val="005D1FB0"/>
    <w:rPr>
      <w:b/>
      <w:bCs/>
      <w:sz w:val="20"/>
      <w:szCs w:val="20"/>
    </w:rPr>
  </w:style>
  <w:style w:type="paragraph" w:styleId="BalloonText">
    <w:name w:val="Balloon Text"/>
    <w:basedOn w:val="Normal"/>
    <w:link w:val="BalloonTextChar"/>
    <w:uiPriority w:val="99"/>
    <w:semiHidden/>
    <w:unhideWhenUsed/>
    <w:rsid w:val="005D1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B0"/>
    <w:rPr>
      <w:rFonts w:ascii="Segoe UI" w:hAnsi="Segoe UI" w:cs="Segoe UI"/>
      <w:sz w:val="18"/>
      <w:szCs w:val="18"/>
    </w:rPr>
  </w:style>
  <w:style w:type="paragraph" w:styleId="Header">
    <w:name w:val="header"/>
    <w:basedOn w:val="Normal"/>
    <w:link w:val="HeaderChar"/>
    <w:uiPriority w:val="99"/>
    <w:unhideWhenUsed/>
    <w:rsid w:val="00FA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E8"/>
  </w:style>
  <w:style w:type="paragraph" w:styleId="Footer">
    <w:name w:val="footer"/>
    <w:basedOn w:val="Normal"/>
    <w:link w:val="FooterChar"/>
    <w:uiPriority w:val="99"/>
    <w:unhideWhenUsed/>
    <w:rsid w:val="00FA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lc.org/find-city-solutions/institute-for-youth-education-and-families/early-childhood/educational-alignment-for-young-childr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engtheningfamilies.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ssp.org/media-center/blog/text/Building-Blocks-for-Success.pdf" TargetMode="External"/><Relationship Id="rId10" Type="http://schemas.openxmlformats.org/officeDocument/2006/relationships/hyperlink" Target="http://www.nlc.org/find-city-solutions/institute-for-youth-education-and-families/early-childhood/educational-alignment-for-young-child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engtheningfamilies.net/"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nlc.org" TargetMode="External"/><Relationship Id="rId2" Type="http://schemas.openxmlformats.org/officeDocument/2006/relationships/hyperlink" Target="http://www.earlylearningnation.com" TargetMode="External"/><Relationship Id="rId1" Type="http://schemas.openxmlformats.org/officeDocument/2006/relationships/hyperlink" Target="http://www.c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E7BD-0EC7-4D57-88B9-566C1357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1108</Words>
  <Characters>6139</Characters>
  <Application>Microsoft Office Word</Application>
  <DocSecurity>0</DocSecurity>
  <Lines>118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Cailin OConnor</dc:creator>
  <cp:keywords/>
  <dc:description/>
  <cp:lastModifiedBy>Cailin OConnor</cp:lastModifiedBy>
  <cp:revision>5</cp:revision>
  <dcterms:created xsi:type="dcterms:W3CDTF">2018-07-02T15:56:00Z</dcterms:created>
  <dcterms:modified xsi:type="dcterms:W3CDTF">2018-07-05T22:22:00Z</dcterms:modified>
</cp:coreProperties>
</file>