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F97C" w14:textId="77777777" w:rsidR="000C55B1" w:rsidRDefault="000C55B1" w:rsidP="00B048BB">
      <w:pPr>
        <w:pStyle w:val="11sanserif"/>
        <w:numPr>
          <w:ilvl w:val="0"/>
          <w:numId w:val="0"/>
        </w:numPr>
        <w:spacing w:line="240" w:lineRule="auto"/>
        <w:jc w:val="both"/>
      </w:pPr>
      <w:bookmarkStart w:id="0" w:name="_GoBack"/>
      <w:bookmarkEnd w:id="0"/>
    </w:p>
    <w:p w14:paraId="62A4FCE9" w14:textId="103FF8A9" w:rsidR="00202A0E" w:rsidRDefault="00BA2782" w:rsidP="00B048BB">
      <w:pPr>
        <w:pStyle w:val="11sanserif"/>
        <w:numPr>
          <w:ilvl w:val="0"/>
          <w:numId w:val="0"/>
        </w:numPr>
        <w:spacing w:line="240" w:lineRule="auto"/>
        <w:jc w:val="both"/>
      </w:pPr>
      <w:r w:rsidRPr="00320AC8">
        <w:t xml:space="preserve">The purpose of this document is to </w:t>
      </w:r>
      <w:r w:rsidR="00DB6FD0">
        <w:t xml:space="preserve">be a planning tool </w:t>
      </w:r>
      <w:r w:rsidRPr="00320AC8">
        <w:t>the Partnership</w:t>
      </w:r>
      <w:r w:rsidR="00DA27FA">
        <w:t>s</w:t>
      </w:r>
      <w:r w:rsidR="00DB6FD0">
        <w:t xml:space="preserve"> use to </w:t>
      </w:r>
      <w:r w:rsidR="00924DCA">
        <w:t xml:space="preserve">1) </w:t>
      </w:r>
      <w:r w:rsidR="00DB6FD0">
        <w:t xml:space="preserve">identify </w:t>
      </w:r>
      <w:r w:rsidR="00151E41">
        <w:t xml:space="preserve">results-focused actions </w:t>
      </w:r>
      <w:r w:rsidR="0035258B">
        <w:t xml:space="preserve">the partnership will take </w:t>
      </w:r>
      <w:r w:rsidR="00151E41">
        <w:t xml:space="preserve">from July 1, 2015 through June 30, 2016, </w:t>
      </w:r>
      <w:r w:rsidR="00DB6FD0">
        <w:t xml:space="preserve">and </w:t>
      </w:r>
      <w:r w:rsidR="00F11749">
        <w:t xml:space="preserve">2) </w:t>
      </w:r>
      <w:r w:rsidR="00DB6FD0">
        <w:t xml:space="preserve">prioritize </w:t>
      </w:r>
      <w:r>
        <w:t xml:space="preserve">capacity building </w:t>
      </w:r>
      <w:r w:rsidR="00DB6FD0">
        <w:t xml:space="preserve">milestones </w:t>
      </w:r>
      <w:r>
        <w:t xml:space="preserve">in </w:t>
      </w:r>
      <w:r w:rsidR="00DB6FD0">
        <w:t xml:space="preserve">3 </w:t>
      </w:r>
      <w:r>
        <w:t xml:space="preserve">core </w:t>
      </w:r>
      <w:r w:rsidR="001B3B97">
        <w:t>capacities</w:t>
      </w:r>
      <w:r>
        <w:t xml:space="preserve"> </w:t>
      </w:r>
      <w:r w:rsidR="00DB6FD0">
        <w:t>(</w:t>
      </w:r>
      <w:r w:rsidR="00B048BB">
        <w:t xml:space="preserve">Inclusive Governance, Effective Collaboration, and Building Neighborhood Capacities) during the next 12 months.  </w:t>
      </w:r>
      <w:r w:rsidR="00950417">
        <w:t xml:space="preserve">Each </w:t>
      </w:r>
      <w:r w:rsidR="00B048BB">
        <w:t xml:space="preserve">Partnership </w:t>
      </w:r>
      <w:r w:rsidR="00950417">
        <w:t xml:space="preserve">determines the number of </w:t>
      </w:r>
      <w:r w:rsidR="00B048BB">
        <w:t>measures</w:t>
      </w:r>
      <w:r w:rsidR="00950417">
        <w:t xml:space="preserve"> </w:t>
      </w:r>
      <w:r w:rsidR="00B048BB">
        <w:t xml:space="preserve">within each competency </w:t>
      </w:r>
      <w:r w:rsidR="00950417">
        <w:t xml:space="preserve">it wants to tackle during </w:t>
      </w:r>
      <w:r w:rsidR="00B048BB">
        <w:t xml:space="preserve">the </w:t>
      </w:r>
      <w:r w:rsidR="00202A0E">
        <w:t>year</w:t>
      </w:r>
      <w:r w:rsidR="00B048BB">
        <w:t xml:space="preserve"> and can identify </w:t>
      </w:r>
      <w:r w:rsidR="00DA27FA">
        <w:t>additional</w:t>
      </w:r>
      <w:r w:rsidR="00B048BB">
        <w:t xml:space="preserve"> </w:t>
      </w:r>
      <w:r w:rsidR="00473558">
        <w:t xml:space="preserve">priority </w:t>
      </w:r>
      <w:r w:rsidR="00B048BB">
        <w:t xml:space="preserve">capacities </w:t>
      </w:r>
      <w:r w:rsidR="00473558">
        <w:t xml:space="preserve">outside of the core capacities. </w:t>
      </w:r>
    </w:p>
    <w:p w14:paraId="1FC4F561" w14:textId="77777777" w:rsidR="00B9258D" w:rsidRDefault="00B9258D" w:rsidP="00B048BB">
      <w:pPr>
        <w:pStyle w:val="11sanserif"/>
        <w:numPr>
          <w:ilvl w:val="0"/>
          <w:numId w:val="0"/>
        </w:numPr>
        <w:spacing w:line="240" w:lineRule="auto"/>
        <w:jc w:val="both"/>
      </w:pPr>
    </w:p>
    <w:p w14:paraId="50E2C103" w14:textId="061C12E9" w:rsidR="00B9258D" w:rsidRDefault="002441C9" w:rsidP="007F40D2">
      <w:pPr>
        <w:spacing w:after="0" w:line="240" w:lineRule="auto"/>
        <w:jc w:val="center"/>
        <w:rPr>
          <w:rFonts w:ascii="Arial" w:hAnsi="Arial"/>
          <w:b/>
          <w:color w:val="595959" w:themeColor="text1" w:themeTint="A6"/>
          <w:sz w:val="26"/>
          <w:szCs w:val="26"/>
        </w:rPr>
      </w:pPr>
      <w:r>
        <w:rPr>
          <w:rFonts w:ascii="Arial" w:hAnsi="Arial"/>
          <w:b/>
          <w:color w:val="595959" w:themeColor="text1" w:themeTint="A6"/>
          <w:sz w:val="26"/>
          <w:szCs w:val="26"/>
        </w:rPr>
        <w:t xml:space="preserve">1) </w:t>
      </w:r>
      <w:r w:rsidR="007F40D2">
        <w:rPr>
          <w:rFonts w:ascii="Arial" w:hAnsi="Arial"/>
          <w:b/>
          <w:color w:val="595959" w:themeColor="text1" w:themeTint="A6"/>
          <w:sz w:val="26"/>
          <w:szCs w:val="26"/>
        </w:rPr>
        <w:t>Results-focused Actions</w:t>
      </w:r>
    </w:p>
    <w:p w14:paraId="71136634" w14:textId="77777777" w:rsidR="0069474F" w:rsidRDefault="0069474F" w:rsidP="007F40D2">
      <w:pPr>
        <w:spacing w:after="0" w:line="240" w:lineRule="auto"/>
        <w:jc w:val="center"/>
        <w:rPr>
          <w:rFonts w:ascii="Arial" w:hAnsi="Arial"/>
          <w:b/>
          <w:color w:val="595959" w:themeColor="text1" w:themeTint="A6"/>
          <w:sz w:val="26"/>
          <w:szCs w:val="26"/>
        </w:rPr>
      </w:pPr>
    </w:p>
    <w:tbl>
      <w:tblPr>
        <w:tblStyle w:val="TableGrid"/>
        <w:tblW w:w="0" w:type="auto"/>
        <w:shd w:val="clear" w:color="auto" w:fill="CCCCCC"/>
        <w:tblLook w:val="04A0" w:firstRow="1" w:lastRow="0" w:firstColumn="1" w:lastColumn="0" w:noHBand="0" w:noVBand="1"/>
      </w:tblPr>
      <w:tblGrid>
        <w:gridCol w:w="6475"/>
        <w:gridCol w:w="6475"/>
      </w:tblGrid>
      <w:tr w:rsidR="00B9258D" w14:paraId="34BB68E3" w14:textId="77777777" w:rsidTr="00E665BD">
        <w:tc>
          <w:tcPr>
            <w:tcW w:w="6475" w:type="dxa"/>
            <w:shd w:val="clear" w:color="auto" w:fill="CCCCCC"/>
          </w:tcPr>
          <w:p w14:paraId="261374CC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202A0E">
              <w:rPr>
                <w:b/>
              </w:rPr>
              <w:t>Community:</w:t>
            </w:r>
            <w:r>
              <w:rPr>
                <w:b/>
              </w:rPr>
              <w:t xml:space="preserve">  </w:t>
            </w:r>
          </w:p>
        </w:tc>
        <w:tc>
          <w:tcPr>
            <w:tcW w:w="6475" w:type="dxa"/>
            <w:shd w:val="clear" w:color="auto" w:fill="CCCCCC"/>
          </w:tcPr>
          <w:p w14:paraId="53746E61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202A0E">
              <w:rPr>
                <w:b/>
              </w:rPr>
              <w:t>12-month period</w:t>
            </w:r>
            <w:r>
              <w:rPr>
                <w:b/>
              </w:rPr>
              <w:t xml:space="preserve">: </w:t>
            </w:r>
          </w:p>
        </w:tc>
      </w:tr>
    </w:tbl>
    <w:p w14:paraId="14B3AAA7" w14:textId="77777777" w:rsidR="00B9258D" w:rsidRDefault="00B9258D" w:rsidP="00B9258D">
      <w:pPr>
        <w:pStyle w:val="11sanserif"/>
        <w:numPr>
          <w:ilvl w:val="0"/>
          <w:numId w:val="0"/>
        </w:numPr>
        <w:spacing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3655"/>
        <w:gridCol w:w="3655"/>
        <w:gridCol w:w="3656"/>
      </w:tblGrid>
      <w:tr w:rsidR="00B9258D" w14:paraId="238C1159" w14:textId="77777777" w:rsidTr="00E665BD">
        <w:tc>
          <w:tcPr>
            <w:tcW w:w="2012" w:type="dxa"/>
            <w:vMerge w:val="restart"/>
            <w:shd w:val="clear" w:color="auto" w:fill="CCCCCC"/>
          </w:tcPr>
          <w:p w14:paraId="4BA68882" w14:textId="77777777" w:rsidR="00B9258D" w:rsidRPr="00656DF1" w:rsidRDefault="00B9258D" w:rsidP="00E665BD">
            <w:pPr>
              <w:pStyle w:val="11sanserif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Results-Focused Actions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CCCCCC"/>
          </w:tcPr>
          <w:p w14:paraId="4ECFB3C6" w14:textId="77777777" w:rsidR="00B9258D" w:rsidRPr="00503C56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Core Result: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CCCCCC"/>
          </w:tcPr>
          <w:p w14:paraId="113096E3" w14:textId="77777777" w:rsidR="00B9258D" w:rsidRPr="00503C56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Indicator: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CCCCCC"/>
          </w:tcPr>
          <w:p w14:paraId="101941C8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Target Population:</w:t>
            </w:r>
          </w:p>
          <w:p w14:paraId="33FD5BCA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19B72ED3" w14:textId="77777777" w:rsidR="00B9258D" w:rsidRPr="00503C56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</w:tc>
      </w:tr>
      <w:tr w:rsidR="00B9258D" w14:paraId="4320B52F" w14:textId="77777777" w:rsidTr="00E665BD">
        <w:trPr>
          <w:trHeight w:val="530"/>
        </w:trPr>
        <w:tc>
          <w:tcPr>
            <w:tcW w:w="2012" w:type="dxa"/>
            <w:vMerge/>
            <w:shd w:val="clear" w:color="auto" w:fill="CCCCCC"/>
          </w:tcPr>
          <w:p w14:paraId="4F823BC1" w14:textId="77777777" w:rsidR="00B9258D" w:rsidRPr="00656DF1" w:rsidRDefault="00B9258D" w:rsidP="00E665BD">
            <w:pPr>
              <w:pStyle w:val="11sanserif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10966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523B2C56" w14:textId="77777777" w:rsidR="00B9258D" w:rsidRPr="00503C56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 xml:space="preserve">Strategy: </w:t>
            </w:r>
          </w:p>
        </w:tc>
      </w:tr>
      <w:tr w:rsidR="00B9258D" w14:paraId="79450D19" w14:textId="77777777" w:rsidTr="00E665BD">
        <w:trPr>
          <w:trHeight w:val="530"/>
        </w:trPr>
        <w:tc>
          <w:tcPr>
            <w:tcW w:w="2012" w:type="dxa"/>
            <w:vMerge/>
            <w:tcBorders>
              <w:bottom w:val="single" w:sz="4" w:space="0" w:color="auto"/>
            </w:tcBorders>
            <w:shd w:val="clear" w:color="auto" w:fill="CCCCCC"/>
          </w:tcPr>
          <w:p w14:paraId="58D3B306" w14:textId="77777777" w:rsidR="00B9258D" w:rsidRPr="00656DF1" w:rsidRDefault="00B9258D" w:rsidP="00E665BD">
            <w:pPr>
              <w:pStyle w:val="11sanserif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CCCCCC"/>
          </w:tcPr>
          <w:p w14:paraId="4C87DD0C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</w:rPr>
            </w:pPr>
            <w:r w:rsidRPr="00656DF1">
              <w:rPr>
                <w:b/>
              </w:rPr>
              <w:t>Short Term</w:t>
            </w:r>
            <w:r>
              <w:rPr>
                <w:b/>
              </w:rPr>
              <w:t xml:space="preserve"> Activity</w:t>
            </w:r>
          </w:p>
          <w:p w14:paraId="1337F678" w14:textId="77777777" w:rsidR="00B9258D" w:rsidRPr="00656DF1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</w:rPr>
            </w:pPr>
            <w:r w:rsidRPr="00503C56">
              <w:t>(1-</w:t>
            </w:r>
            <w:r>
              <w:t>4</w:t>
            </w:r>
            <w:r w:rsidRPr="00503C56">
              <w:t xml:space="preserve"> months)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shd w:val="clear" w:color="auto" w:fill="CCCCCC"/>
          </w:tcPr>
          <w:p w14:paraId="64F71CA7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</w:rPr>
            </w:pPr>
            <w:r w:rsidRPr="00656DF1">
              <w:rPr>
                <w:b/>
              </w:rPr>
              <w:t>Medium Term</w:t>
            </w:r>
            <w:r>
              <w:rPr>
                <w:b/>
              </w:rPr>
              <w:t xml:space="preserve"> Activity</w:t>
            </w:r>
          </w:p>
          <w:p w14:paraId="7713224F" w14:textId="77777777" w:rsidR="00B9258D" w:rsidRPr="00656DF1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</w:rPr>
            </w:pPr>
            <w:r w:rsidRPr="00503C56">
              <w:t>(</w:t>
            </w:r>
            <w:r>
              <w:t>5-8</w:t>
            </w:r>
            <w:r w:rsidRPr="00503C56">
              <w:t xml:space="preserve"> months)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CCCCCC"/>
          </w:tcPr>
          <w:p w14:paraId="34182344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</w:rPr>
            </w:pPr>
            <w:r w:rsidRPr="00656DF1">
              <w:rPr>
                <w:b/>
              </w:rPr>
              <w:t>Long Term</w:t>
            </w:r>
            <w:r>
              <w:rPr>
                <w:b/>
              </w:rPr>
              <w:t xml:space="preserve"> Activity</w:t>
            </w:r>
          </w:p>
          <w:p w14:paraId="1D0DB734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</w:pPr>
            <w:r w:rsidRPr="00503C56">
              <w:t>(</w:t>
            </w:r>
            <w:r>
              <w:t>9-</w:t>
            </w:r>
            <w:r w:rsidRPr="00503C56">
              <w:t>12 months)</w:t>
            </w:r>
          </w:p>
          <w:p w14:paraId="323A1504" w14:textId="77777777" w:rsidR="00B9258D" w:rsidRPr="00656DF1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</w:rPr>
            </w:pPr>
          </w:p>
        </w:tc>
      </w:tr>
      <w:tr w:rsidR="00B9258D" w14:paraId="3C96B553" w14:textId="77777777" w:rsidTr="00E665BD">
        <w:trPr>
          <w:trHeight w:val="917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9145F55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Core Capacity:</w:t>
            </w:r>
          </w:p>
          <w:p w14:paraId="4D9A2568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2D99E558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04001D4A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13705BD4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Primary Measure:</w:t>
            </w:r>
          </w:p>
          <w:p w14:paraId="587F937B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3149A9C1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7202234F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Secondary Measure(s):</w:t>
            </w:r>
          </w:p>
          <w:p w14:paraId="57117181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533C399A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487ABDAF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27CBBC44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 xml:space="preserve">Rationale for </w:t>
            </w:r>
            <w:r>
              <w:t xml:space="preserve">selecting these measures:  </w:t>
            </w:r>
          </w:p>
          <w:p w14:paraId="4E024070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655" w:type="dxa"/>
            <w:tcBorders>
              <w:top w:val="single" w:sz="4" w:space="0" w:color="auto"/>
              <w:right w:val="single" w:sz="4" w:space="0" w:color="auto"/>
            </w:tcBorders>
          </w:tcPr>
          <w:p w14:paraId="476EEA52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Objective</w:t>
            </w:r>
            <w:r>
              <w:t xml:space="preserve">:  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01945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Objective</w:t>
            </w:r>
            <w:r>
              <w:t xml:space="preserve">: 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61880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Objective</w:t>
            </w:r>
            <w:r>
              <w:t xml:space="preserve">:  </w:t>
            </w:r>
          </w:p>
        </w:tc>
      </w:tr>
      <w:tr w:rsidR="00B9258D" w14:paraId="2DB3E172" w14:textId="77777777" w:rsidTr="00E665BD">
        <w:trPr>
          <w:trHeight w:val="1853"/>
        </w:trPr>
        <w:tc>
          <w:tcPr>
            <w:tcW w:w="2012" w:type="dxa"/>
            <w:vMerge/>
            <w:tcBorders>
              <w:left w:val="single" w:sz="4" w:space="0" w:color="auto"/>
            </w:tcBorders>
          </w:tcPr>
          <w:p w14:paraId="7CB70E49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</w:pPr>
          </w:p>
        </w:tc>
        <w:tc>
          <w:tcPr>
            <w:tcW w:w="3655" w:type="dxa"/>
          </w:tcPr>
          <w:p w14:paraId="15ABFE42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Action:</w:t>
            </w:r>
          </w:p>
        </w:tc>
        <w:tc>
          <w:tcPr>
            <w:tcW w:w="3655" w:type="dxa"/>
          </w:tcPr>
          <w:p w14:paraId="0245E7A6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Action</w:t>
            </w:r>
            <w:r w:rsidRPr="00202A0E">
              <w:t>:</w:t>
            </w:r>
            <w:r>
              <w:t xml:space="preserve"> </w:t>
            </w:r>
          </w:p>
          <w:p w14:paraId="4ED46B39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14:paraId="46225216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Action</w:t>
            </w:r>
            <w:r w:rsidRPr="00202A0E">
              <w:t>:</w:t>
            </w:r>
            <w:r>
              <w:t xml:space="preserve"> </w:t>
            </w:r>
          </w:p>
        </w:tc>
      </w:tr>
      <w:tr w:rsidR="00B9258D" w14:paraId="1C253B3D" w14:textId="77777777" w:rsidTr="00E665BD">
        <w:trPr>
          <w:trHeight w:val="1547"/>
        </w:trPr>
        <w:tc>
          <w:tcPr>
            <w:tcW w:w="2012" w:type="dxa"/>
            <w:vMerge/>
            <w:tcBorders>
              <w:left w:val="single" w:sz="4" w:space="0" w:color="auto"/>
            </w:tcBorders>
          </w:tcPr>
          <w:p w14:paraId="68DCA8E1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</w:pPr>
          </w:p>
        </w:tc>
        <w:tc>
          <w:tcPr>
            <w:tcW w:w="3655" w:type="dxa"/>
          </w:tcPr>
          <w:p w14:paraId="7447B11A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Action</w:t>
            </w:r>
            <w:r w:rsidRPr="00202A0E">
              <w:t>:</w:t>
            </w:r>
            <w:r>
              <w:t xml:space="preserve"> </w:t>
            </w:r>
          </w:p>
        </w:tc>
        <w:tc>
          <w:tcPr>
            <w:tcW w:w="3655" w:type="dxa"/>
          </w:tcPr>
          <w:p w14:paraId="7D622BD3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Action</w:t>
            </w:r>
            <w:r w:rsidRPr="00202A0E">
              <w:t>:</w:t>
            </w:r>
            <w:r>
              <w:t xml:space="preserve">  </w:t>
            </w: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14:paraId="3A3847BF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Action</w:t>
            </w:r>
            <w:r w:rsidRPr="00202A0E">
              <w:t>:</w:t>
            </w:r>
            <w:r>
              <w:t xml:space="preserve"> </w:t>
            </w:r>
          </w:p>
        </w:tc>
      </w:tr>
      <w:tr w:rsidR="00B9258D" w14:paraId="6359EC17" w14:textId="77777777" w:rsidTr="00E665BD">
        <w:trPr>
          <w:trHeight w:val="1700"/>
        </w:trPr>
        <w:tc>
          <w:tcPr>
            <w:tcW w:w="2012" w:type="dxa"/>
            <w:vMerge/>
            <w:tcBorders>
              <w:left w:val="single" w:sz="4" w:space="0" w:color="auto"/>
            </w:tcBorders>
          </w:tcPr>
          <w:p w14:paraId="5B5E4643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</w:pPr>
          </w:p>
        </w:tc>
        <w:tc>
          <w:tcPr>
            <w:tcW w:w="3655" w:type="dxa"/>
          </w:tcPr>
          <w:p w14:paraId="4ABA4D88" w14:textId="01CFC4F4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 xml:space="preserve">Short Term Expected </w:t>
            </w:r>
            <w:r w:rsidR="00673CBF">
              <w:t>Milestones:</w:t>
            </w:r>
          </w:p>
          <w:p w14:paraId="683D4866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120F63C6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655" w:type="dxa"/>
          </w:tcPr>
          <w:p w14:paraId="737359ED" w14:textId="5A340DEE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 xml:space="preserve">Med Term Expected </w:t>
            </w:r>
            <w:r w:rsidR="00673CBF">
              <w:t>Milestones:</w:t>
            </w:r>
          </w:p>
          <w:p w14:paraId="2B4DBF60" w14:textId="77777777" w:rsidR="00B9258D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60B39D77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14:paraId="65ACC508" w14:textId="256B0641" w:rsidR="00B9258D" w:rsidRDefault="00B9258D" w:rsidP="00E665BD">
            <w:pPr>
              <w:pStyle w:val="11sanserif"/>
              <w:numPr>
                <w:ilvl w:val="0"/>
                <w:numId w:val="0"/>
              </w:numPr>
            </w:pPr>
            <w:r w:rsidRPr="00202A0E">
              <w:t xml:space="preserve">Final </w:t>
            </w:r>
            <w:r w:rsidR="00673CBF">
              <w:t>Expected Milestones</w:t>
            </w:r>
            <w:r w:rsidRPr="00202A0E">
              <w:t>:</w:t>
            </w:r>
          </w:p>
          <w:p w14:paraId="300FA5D7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</w:tc>
      </w:tr>
      <w:tr w:rsidR="00B9258D" w14:paraId="159F7CBA" w14:textId="77777777" w:rsidTr="00E665BD">
        <w:trPr>
          <w:trHeight w:val="1700"/>
        </w:trPr>
        <w:tc>
          <w:tcPr>
            <w:tcW w:w="2012" w:type="dxa"/>
            <w:tcBorders>
              <w:left w:val="single" w:sz="4" w:space="0" w:color="auto"/>
            </w:tcBorders>
          </w:tcPr>
          <w:p w14:paraId="0BC31709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</w:pPr>
          </w:p>
        </w:tc>
        <w:tc>
          <w:tcPr>
            <w:tcW w:w="10966" w:type="dxa"/>
            <w:gridSpan w:val="3"/>
            <w:tcBorders>
              <w:right w:val="single" w:sz="4" w:space="0" w:color="auto"/>
            </w:tcBorders>
          </w:tcPr>
          <w:p w14:paraId="56575E3A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Context: Provide a brief narrative of existing conditions, challenges, assets or technical assistance/training used.</w:t>
            </w:r>
          </w:p>
          <w:p w14:paraId="70C6CC7B" w14:textId="77777777" w:rsidR="00B9258D" w:rsidRPr="00202A0E" w:rsidRDefault="00B9258D" w:rsidP="00E665BD">
            <w:pPr>
              <w:pStyle w:val="11sanserif"/>
              <w:numPr>
                <w:ilvl w:val="0"/>
                <w:numId w:val="0"/>
              </w:numPr>
            </w:pPr>
          </w:p>
        </w:tc>
      </w:tr>
    </w:tbl>
    <w:p w14:paraId="2280B0BB" w14:textId="77777777" w:rsidR="00B9258D" w:rsidRDefault="00B9258D" w:rsidP="00B9258D">
      <w:pPr>
        <w:spacing w:after="0" w:line="240" w:lineRule="auto"/>
        <w:rPr>
          <w:rFonts w:ascii="Arial" w:hAnsi="Arial"/>
          <w:b/>
          <w:color w:val="595959" w:themeColor="text1" w:themeTint="A6"/>
          <w:sz w:val="26"/>
          <w:szCs w:val="26"/>
        </w:rPr>
      </w:pPr>
    </w:p>
    <w:p w14:paraId="3E08C283" w14:textId="77777777" w:rsidR="00B9258D" w:rsidRDefault="00B9258D" w:rsidP="00B9258D">
      <w:pPr>
        <w:pStyle w:val="11sanserif"/>
        <w:numPr>
          <w:ilvl w:val="0"/>
          <w:numId w:val="0"/>
        </w:numPr>
      </w:pPr>
    </w:p>
    <w:p w14:paraId="711AE77D" w14:textId="77777777" w:rsidR="00B9258D" w:rsidRDefault="00B9258D" w:rsidP="00B9258D">
      <w:pPr>
        <w:pStyle w:val="11sanserif"/>
        <w:numPr>
          <w:ilvl w:val="0"/>
          <w:numId w:val="0"/>
        </w:numPr>
      </w:pPr>
    </w:p>
    <w:p w14:paraId="302FA6B0" w14:textId="77777777" w:rsidR="00B9258D" w:rsidRDefault="00B9258D" w:rsidP="00B9258D">
      <w:pPr>
        <w:pStyle w:val="11sanserif"/>
        <w:numPr>
          <w:ilvl w:val="0"/>
          <w:numId w:val="0"/>
        </w:numPr>
      </w:pPr>
    </w:p>
    <w:p w14:paraId="2F1A8694" w14:textId="77777777" w:rsidR="00B9258D" w:rsidRDefault="00B9258D" w:rsidP="00B9258D">
      <w:pPr>
        <w:pStyle w:val="11sanserif"/>
        <w:numPr>
          <w:ilvl w:val="0"/>
          <w:numId w:val="0"/>
        </w:numPr>
      </w:pPr>
    </w:p>
    <w:p w14:paraId="27A9B109" w14:textId="77777777" w:rsidR="00B9258D" w:rsidRPr="00E2595F" w:rsidRDefault="00B9258D" w:rsidP="00B9258D">
      <w:pPr>
        <w:pStyle w:val="11sanserif"/>
        <w:numPr>
          <w:ilvl w:val="0"/>
          <w:numId w:val="0"/>
        </w:numPr>
      </w:pPr>
    </w:p>
    <w:p w14:paraId="33F974DF" w14:textId="77777777" w:rsidR="00B9258D" w:rsidRDefault="00B9258D" w:rsidP="00B9258D"/>
    <w:p w14:paraId="27E9FF95" w14:textId="7C5C0160" w:rsidR="0006259F" w:rsidRDefault="0006259F">
      <w:pPr>
        <w:rPr>
          <w:rFonts w:ascii="Arial" w:eastAsiaTheme="minorEastAsia" w:hAnsi="Arial" w:cs="Arial"/>
          <w:color w:val="262626" w:themeColor="text1" w:themeTint="D9"/>
        </w:rPr>
      </w:pPr>
      <w:r>
        <w:br w:type="page"/>
      </w:r>
    </w:p>
    <w:p w14:paraId="70ADA7A6" w14:textId="77777777" w:rsidR="00B9258D" w:rsidRDefault="00B9258D" w:rsidP="009025D9">
      <w:pPr>
        <w:pStyle w:val="11sanserif"/>
        <w:numPr>
          <w:ilvl w:val="0"/>
          <w:numId w:val="0"/>
        </w:numPr>
        <w:spacing w:line="240" w:lineRule="auto"/>
        <w:jc w:val="center"/>
      </w:pPr>
    </w:p>
    <w:p w14:paraId="0E8805DD" w14:textId="525BBD62" w:rsidR="00FB3730" w:rsidRDefault="00BF2DD4" w:rsidP="00FB3730">
      <w:pPr>
        <w:spacing w:after="0" w:line="240" w:lineRule="auto"/>
        <w:jc w:val="center"/>
        <w:rPr>
          <w:rFonts w:ascii="Arial" w:hAnsi="Arial"/>
          <w:b/>
          <w:color w:val="595959" w:themeColor="text1" w:themeTint="A6"/>
          <w:sz w:val="26"/>
          <w:szCs w:val="26"/>
        </w:rPr>
      </w:pPr>
      <w:r>
        <w:rPr>
          <w:rFonts w:ascii="Arial" w:hAnsi="Arial"/>
          <w:b/>
          <w:color w:val="595959" w:themeColor="text1" w:themeTint="A6"/>
          <w:sz w:val="26"/>
          <w:szCs w:val="26"/>
        </w:rPr>
        <w:t xml:space="preserve">2) </w:t>
      </w:r>
      <w:r w:rsidR="00FB3730">
        <w:rPr>
          <w:rFonts w:ascii="Arial" w:hAnsi="Arial"/>
          <w:b/>
          <w:color w:val="595959" w:themeColor="text1" w:themeTint="A6"/>
          <w:sz w:val="26"/>
          <w:szCs w:val="26"/>
        </w:rPr>
        <w:t>Capacity Building Plan</w:t>
      </w:r>
    </w:p>
    <w:p w14:paraId="51057B2C" w14:textId="77777777" w:rsidR="0006259F" w:rsidRDefault="0006259F" w:rsidP="00581FC7">
      <w:pPr>
        <w:pStyle w:val="11sanserif"/>
        <w:numPr>
          <w:ilvl w:val="0"/>
          <w:numId w:val="0"/>
        </w:num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02A0E" w14:paraId="5FA7FD78" w14:textId="77777777" w:rsidTr="00202A0E">
        <w:tc>
          <w:tcPr>
            <w:tcW w:w="6475" w:type="dxa"/>
            <w:shd w:val="clear" w:color="auto" w:fill="D0CECE" w:themeFill="background2" w:themeFillShade="E6"/>
          </w:tcPr>
          <w:p w14:paraId="5AC81875" w14:textId="77777777" w:rsidR="00202A0E" w:rsidRPr="00202A0E" w:rsidRDefault="00202A0E" w:rsidP="00131CCA">
            <w:pPr>
              <w:pStyle w:val="11sanserif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202A0E">
              <w:rPr>
                <w:b/>
              </w:rPr>
              <w:t>Community:</w:t>
            </w:r>
            <w:r w:rsidR="00ED3410">
              <w:rPr>
                <w:b/>
              </w:rPr>
              <w:t xml:space="preserve">  </w:t>
            </w:r>
          </w:p>
        </w:tc>
        <w:tc>
          <w:tcPr>
            <w:tcW w:w="6475" w:type="dxa"/>
            <w:shd w:val="clear" w:color="auto" w:fill="D0CECE" w:themeFill="background2" w:themeFillShade="E6"/>
          </w:tcPr>
          <w:p w14:paraId="495F14A6" w14:textId="77777777" w:rsidR="00202A0E" w:rsidRPr="00202A0E" w:rsidRDefault="00202A0E" w:rsidP="00581FC7">
            <w:pPr>
              <w:pStyle w:val="11sanserif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202A0E">
              <w:rPr>
                <w:b/>
              </w:rPr>
              <w:t>12-month period</w:t>
            </w:r>
            <w:proofErr w:type="gramStart"/>
            <w:r>
              <w:rPr>
                <w:b/>
              </w:rPr>
              <w:t xml:space="preserve">:  </w:t>
            </w:r>
            <w:proofErr w:type="gramEnd"/>
          </w:p>
        </w:tc>
      </w:tr>
    </w:tbl>
    <w:p w14:paraId="4AB3C447" w14:textId="77777777" w:rsidR="00BA2782" w:rsidRDefault="00950417" w:rsidP="00581FC7">
      <w:pPr>
        <w:pStyle w:val="11sanserif"/>
        <w:numPr>
          <w:ilvl w:val="0"/>
          <w:numId w:val="0"/>
        </w:numPr>
        <w:spacing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3"/>
        <w:gridCol w:w="3192"/>
        <w:gridCol w:w="3400"/>
        <w:gridCol w:w="3255"/>
      </w:tblGrid>
      <w:tr w:rsidR="00ED3410" w14:paraId="6115EEF8" w14:textId="77777777" w:rsidTr="00D373FA">
        <w:trPr>
          <w:tblHeader/>
        </w:trPr>
        <w:tc>
          <w:tcPr>
            <w:tcW w:w="3103" w:type="dxa"/>
            <w:vMerge w:val="restart"/>
            <w:shd w:val="clear" w:color="auto" w:fill="D0CECE" w:themeFill="background2" w:themeFillShade="E6"/>
          </w:tcPr>
          <w:p w14:paraId="6D7DAFE8" w14:textId="77777777" w:rsidR="00ED3410" w:rsidRPr="00656DF1" w:rsidRDefault="00ED3410" w:rsidP="00202A0E">
            <w:pPr>
              <w:pStyle w:val="11sanserif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656DF1">
              <w:rPr>
                <w:b/>
              </w:rPr>
              <w:t>Capacity Building Priority</w:t>
            </w:r>
            <w:r>
              <w:rPr>
                <w:b/>
              </w:rPr>
              <w:t xml:space="preserve"> 1</w:t>
            </w:r>
          </w:p>
        </w:tc>
        <w:tc>
          <w:tcPr>
            <w:tcW w:w="9847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9D24880" w14:textId="77777777" w:rsidR="00ED3410" w:rsidRPr="00D90891" w:rsidRDefault="00ED3410" w:rsidP="00ED3410">
            <w:pPr>
              <w:pStyle w:val="11sanserif"/>
              <w:numPr>
                <w:ilvl w:val="0"/>
                <w:numId w:val="0"/>
              </w:numPr>
              <w:spacing w:line="240" w:lineRule="auto"/>
              <w:rPr>
                <w:b/>
              </w:rPr>
            </w:pPr>
            <w:r w:rsidRPr="00D90891">
              <w:rPr>
                <w:b/>
              </w:rPr>
              <w:t>Goal:</w:t>
            </w:r>
          </w:p>
          <w:p w14:paraId="63341BA8" w14:textId="77777777" w:rsidR="00ED3410" w:rsidRPr="00503C56" w:rsidRDefault="00ED3410" w:rsidP="00ED3410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</w:tc>
      </w:tr>
      <w:tr w:rsidR="00ED3410" w14:paraId="1498A4D7" w14:textId="77777777" w:rsidTr="00D373FA">
        <w:trPr>
          <w:trHeight w:val="530"/>
          <w:tblHeader/>
        </w:trPr>
        <w:tc>
          <w:tcPr>
            <w:tcW w:w="3103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17D925D" w14:textId="77777777" w:rsidR="00ED3410" w:rsidRPr="00656DF1" w:rsidRDefault="00ED3410" w:rsidP="00ED3410">
            <w:pPr>
              <w:pStyle w:val="11sanserif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964AD55" w14:textId="77777777" w:rsidR="00ED3410" w:rsidRDefault="00ED3410" w:rsidP="00ED3410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</w:rPr>
            </w:pPr>
            <w:r w:rsidRPr="00656DF1">
              <w:rPr>
                <w:b/>
              </w:rPr>
              <w:t>Short Term</w:t>
            </w:r>
          </w:p>
          <w:p w14:paraId="565A94E2" w14:textId="77777777" w:rsidR="00ED3410" w:rsidRPr="00503C56" w:rsidRDefault="00ED3410" w:rsidP="00ED3410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</w:pPr>
            <w:r w:rsidRPr="00503C56">
              <w:t>(1-</w:t>
            </w:r>
            <w:r>
              <w:t>4</w:t>
            </w:r>
            <w:r w:rsidRPr="00503C56">
              <w:t xml:space="preserve"> months)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0E775E" w14:textId="77777777" w:rsidR="00ED3410" w:rsidRDefault="00ED3410" w:rsidP="00ED3410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</w:rPr>
            </w:pPr>
            <w:r w:rsidRPr="00656DF1">
              <w:rPr>
                <w:b/>
              </w:rPr>
              <w:t>Medium Term</w:t>
            </w:r>
          </w:p>
          <w:p w14:paraId="0206461E" w14:textId="77777777" w:rsidR="00ED3410" w:rsidRPr="00503C56" w:rsidRDefault="00ED3410" w:rsidP="00ED3410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</w:pPr>
            <w:r w:rsidRPr="00503C56">
              <w:t>(</w:t>
            </w:r>
            <w:r>
              <w:t>5-8</w:t>
            </w:r>
            <w:r w:rsidRPr="00503C56">
              <w:t xml:space="preserve"> months)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5BC8ED7" w14:textId="77777777" w:rsidR="00ED3410" w:rsidRDefault="00ED3410" w:rsidP="00ED3410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  <w:rPr>
                <w:b/>
              </w:rPr>
            </w:pPr>
            <w:r w:rsidRPr="00656DF1">
              <w:rPr>
                <w:b/>
              </w:rPr>
              <w:t>Long Term</w:t>
            </w:r>
          </w:p>
          <w:p w14:paraId="6DC0B2CF" w14:textId="77777777" w:rsidR="00ED3410" w:rsidRPr="00503C56" w:rsidRDefault="00ED3410" w:rsidP="00ED3410">
            <w:pPr>
              <w:pStyle w:val="11sanserif"/>
              <w:numPr>
                <w:ilvl w:val="0"/>
                <w:numId w:val="0"/>
              </w:numPr>
              <w:spacing w:line="240" w:lineRule="auto"/>
              <w:jc w:val="center"/>
            </w:pPr>
            <w:r w:rsidRPr="00503C56">
              <w:t>(</w:t>
            </w:r>
            <w:r>
              <w:t>9-</w:t>
            </w:r>
            <w:r w:rsidRPr="00503C56">
              <w:t>12 months)</w:t>
            </w:r>
          </w:p>
        </w:tc>
      </w:tr>
      <w:tr w:rsidR="00ED3410" w14:paraId="00A75279" w14:textId="77777777" w:rsidTr="00B048BB">
        <w:trPr>
          <w:trHeight w:val="917"/>
        </w:trPr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EF8867A" w14:textId="77777777" w:rsidR="00ED3410" w:rsidRDefault="00B048BB" w:rsidP="00202A0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Core Capacity</w:t>
            </w:r>
            <w:r w:rsidR="00ED3410">
              <w:t>:</w:t>
            </w:r>
          </w:p>
          <w:p w14:paraId="5F4BBCE7" w14:textId="77777777" w:rsidR="00ED3410" w:rsidRDefault="00ED3410" w:rsidP="00202A0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779AC7CD" w14:textId="77777777" w:rsidR="00B048BB" w:rsidRDefault="00B048BB" w:rsidP="00202A0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1B76D04B" w14:textId="77777777" w:rsidR="00B048BB" w:rsidRDefault="00B048BB" w:rsidP="00202A0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5B284E88" w14:textId="6CC3D74A" w:rsidR="00B048BB" w:rsidRDefault="00ED3410" w:rsidP="00202A0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Primary Measure:</w:t>
            </w:r>
          </w:p>
          <w:p w14:paraId="3459942B" w14:textId="77777777" w:rsidR="00B048BB" w:rsidRDefault="00B048BB" w:rsidP="00202A0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6B960A83" w14:textId="77777777" w:rsidR="00B048BB" w:rsidRDefault="00B048BB" w:rsidP="00202A0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761E3C12" w14:textId="77777777" w:rsidR="00ED3410" w:rsidRDefault="00ED3410" w:rsidP="00202A0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Secondary Measure(s):</w:t>
            </w:r>
          </w:p>
          <w:p w14:paraId="00F381BE" w14:textId="77777777" w:rsidR="00ED3410" w:rsidRDefault="00ED3410" w:rsidP="00202A0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18C50B9A" w14:textId="77777777" w:rsidR="00ED3410" w:rsidRPr="00202A0E" w:rsidRDefault="00ED3410" w:rsidP="00202A0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5A5AC18D" w14:textId="77777777" w:rsidR="00ED3410" w:rsidRDefault="00ED3410" w:rsidP="00202A0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  <w:p w14:paraId="66C022D0" w14:textId="47BFE421" w:rsidR="00ED3410" w:rsidRDefault="00ED3410" w:rsidP="00AB0555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 xml:space="preserve">Rationale for </w:t>
            </w:r>
            <w:r w:rsidR="00EA4B1E">
              <w:t xml:space="preserve">selecting </w:t>
            </w:r>
            <w:r w:rsidR="00F22529">
              <w:t>these measures:</w:t>
            </w:r>
            <w:r>
              <w:t xml:space="preserve">  </w:t>
            </w:r>
          </w:p>
          <w:p w14:paraId="74046CF6" w14:textId="77777777" w:rsidR="00ED3410" w:rsidRPr="00202A0E" w:rsidRDefault="00ED3410" w:rsidP="00AB0555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192" w:type="dxa"/>
            <w:tcBorders>
              <w:top w:val="single" w:sz="4" w:space="0" w:color="auto"/>
              <w:right w:val="single" w:sz="4" w:space="0" w:color="auto"/>
            </w:tcBorders>
          </w:tcPr>
          <w:p w14:paraId="68D50CAE" w14:textId="77777777" w:rsidR="00ED3410" w:rsidRPr="00202A0E" w:rsidRDefault="00ED3410" w:rsidP="00ED3410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Objective</w:t>
            </w:r>
            <w:r>
              <w:t xml:space="preserve">: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45E07" w14:textId="77777777" w:rsidR="00ED3410" w:rsidRPr="00202A0E" w:rsidRDefault="00ED3410" w:rsidP="00ED3410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Objective</w:t>
            </w:r>
            <w:r>
              <w:t xml:space="preserve">: 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8252F" w14:textId="77777777" w:rsidR="00ED3410" w:rsidRPr="00202A0E" w:rsidRDefault="00ED3410" w:rsidP="00ED3410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Objective</w:t>
            </w:r>
            <w:r>
              <w:t xml:space="preserve">:  </w:t>
            </w:r>
          </w:p>
        </w:tc>
      </w:tr>
      <w:tr w:rsidR="00202A0E" w14:paraId="31EEE73F" w14:textId="77777777" w:rsidTr="006E7EEB">
        <w:trPr>
          <w:trHeight w:val="1322"/>
        </w:trPr>
        <w:tc>
          <w:tcPr>
            <w:tcW w:w="3103" w:type="dxa"/>
            <w:vMerge/>
            <w:tcBorders>
              <w:left w:val="single" w:sz="4" w:space="0" w:color="auto"/>
            </w:tcBorders>
          </w:tcPr>
          <w:p w14:paraId="2E1389A1" w14:textId="77777777" w:rsidR="00202A0E" w:rsidRPr="00202A0E" w:rsidRDefault="00202A0E" w:rsidP="00202A0E">
            <w:pPr>
              <w:pStyle w:val="11sanserif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14:paraId="3E93BCA2" w14:textId="77777777" w:rsidR="00202A0E" w:rsidRPr="00202A0E" w:rsidRDefault="00ED3410" w:rsidP="00A61492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>
              <w:t>TA:</w:t>
            </w:r>
          </w:p>
        </w:tc>
        <w:tc>
          <w:tcPr>
            <w:tcW w:w="3400" w:type="dxa"/>
          </w:tcPr>
          <w:p w14:paraId="44B85B58" w14:textId="77777777" w:rsidR="00ED3410" w:rsidRPr="00202A0E" w:rsidRDefault="00202A0E" w:rsidP="00ED3410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TA:</w:t>
            </w:r>
            <w:r w:rsidR="00A61492">
              <w:t xml:space="preserve"> </w:t>
            </w:r>
          </w:p>
          <w:p w14:paraId="6F9521DF" w14:textId="77777777" w:rsidR="00202A0E" w:rsidRPr="00202A0E" w:rsidRDefault="00202A0E" w:rsidP="00A61492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47415F39" w14:textId="77777777" w:rsidR="00202A0E" w:rsidRPr="00202A0E" w:rsidRDefault="00202A0E" w:rsidP="00ED3410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TA:</w:t>
            </w:r>
            <w:r w:rsidR="00A61492">
              <w:t xml:space="preserve"> </w:t>
            </w:r>
          </w:p>
        </w:tc>
      </w:tr>
      <w:tr w:rsidR="00202A0E" w14:paraId="552215FD" w14:textId="77777777" w:rsidTr="00B048BB">
        <w:trPr>
          <w:trHeight w:val="1547"/>
        </w:trPr>
        <w:tc>
          <w:tcPr>
            <w:tcW w:w="3103" w:type="dxa"/>
            <w:vMerge/>
            <w:tcBorders>
              <w:left w:val="single" w:sz="4" w:space="0" w:color="auto"/>
            </w:tcBorders>
          </w:tcPr>
          <w:p w14:paraId="352A380D" w14:textId="77777777" w:rsidR="00202A0E" w:rsidRPr="00202A0E" w:rsidRDefault="00202A0E" w:rsidP="00202A0E">
            <w:pPr>
              <w:pStyle w:val="11sanserif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14:paraId="2FB50E3C" w14:textId="77777777" w:rsidR="00202A0E" w:rsidRPr="00202A0E" w:rsidRDefault="00202A0E" w:rsidP="00ED3410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TA:</w:t>
            </w:r>
            <w:r w:rsidR="00AB0555">
              <w:t xml:space="preserve"> </w:t>
            </w:r>
          </w:p>
        </w:tc>
        <w:tc>
          <w:tcPr>
            <w:tcW w:w="3400" w:type="dxa"/>
          </w:tcPr>
          <w:p w14:paraId="4FEFE086" w14:textId="77777777" w:rsidR="00202A0E" w:rsidRPr="00202A0E" w:rsidRDefault="00202A0E" w:rsidP="00ED3410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TA:</w:t>
            </w:r>
            <w:r w:rsidR="00A61492">
              <w:t xml:space="preserve">  </w:t>
            </w: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40854E85" w14:textId="77777777" w:rsidR="00202A0E" w:rsidRPr="00202A0E" w:rsidRDefault="00202A0E" w:rsidP="00ED3410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TA:</w:t>
            </w:r>
            <w:r w:rsidR="0018375A">
              <w:t xml:space="preserve"> </w:t>
            </w:r>
          </w:p>
        </w:tc>
      </w:tr>
      <w:tr w:rsidR="00AC7448" w14:paraId="09F14164" w14:textId="77777777" w:rsidTr="004E05D8">
        <w:trPr>
          <w:trHeight w:val="1322"/>
        </w:trPr>
        <w:tc>
          <w:tcPr>
            <w:tcW w:w="3103" w:type="dxa"/>
            <w:vMerge/>
            <w:tcBorders>
              <w:left w:val="single" w:sz="4" w:space="0" w:color="auto"/>
            </w:tcBorders>
          </w:tcPr>
          <w:p w14:paraId="17B2644D" w14:textId="77777777" w:rsidR="00AC7448" w:rsidRPr="00202A0E" w:rsidRDefault="00AC7448" w:rsidP="00202A0E">
            <w:pPr>
              <w:pStyle w:val="11sanserif"/>
              <w:numPr>
                <w:ilvl w:val="0"/>
                <w:numId w:val="0"/>
              </w:numPr>
            </w:pPr>
          </w:p>
        </w:tc>
        <w:tc>
          <w:tcPr>
            <w:tcW w:w="3192" w:type="dxa"/>
          </w:tcPr>
          <w:p w14:paraId="0842C814" w14:textId="77777777" w:rsidR="00AC7448" w:rsidRDefault="00AC7448" w:rsidP="00D325B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 xml:space="preserve">Short Term Expected </w:t>
            </w:r>
            <w:r>
              <w:t>Milestones:</w:t>
            </w:r>
          </w:p>
          <w:p w14:paraId="21D55223" w14:textId="77777777" w:rsidR="00AC7448" w:rsidRPr="00202A0E" w:rsidRDefault="00AC7448" w:rsidP="00ED3410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400" w:type="dxa"/>
          </w:tcPr>
          <w:p w14:paraId="45FB6139" w14:textId="77777777" w:rsidR="00AC7448" w:rsidRPr="00202A0E" w:rsidRDefault="00AC7448" w:rsidP="00D325B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 xml:space="preserve">Med Term Expected </w:t>
            </w:r>
            <w:r>
              <w:t>Milestones:</w:t>
            </w:r>
          </w:p>
          <w:p w14:paraId="3FEB31DA" w14:textId="77777777" w:rsidR="00AC7448" w:rsidRPr="00202A0E" w:rsidRDefault="00AC7448" w:rsidP="00202A0E">
            <w:pPr>
              <w:pStyle w:val="11sanserif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14:paraId="05487A38" w14:textId="77777777" w:rsidR="00AC7448" w:rsidRDefault="00AC7448" w:rsidP="00D325BE">
            <w:pPr>
              <w:pStyle w:val="11sanserif"/>
              <w:numPr>
                <w:ilvl w:val="0"/>
                <w:numId w:val="0"/>
              </w:numPr>
            </w:pPr>
            <w:r w:rsidRPr="00202A0E">
              <w:t xml:space="preserve">Final </w:t>
            </w:r>
            <w:r>
              <w:t>Expected Milestones</w:t>
            </w:r>
            <w:r w:rsidRPr="00202A0E">
              <w:t>:</w:t>
            </w:r>
          </w:p>
          <w:p w14:paraId="1C126D21" w14:textId="77777777" w:rsidR="00AC7448" w:rsidRPr="00202A0E" w:rsidRDefault="00AC7448" w:rsidP="00ED3410">
            <w:pPr>
              <w:pStyle w:val="11sanserif"/>
              <w:numPr>
                <w:ilvl w:val="0"/>
                <w:numId w:val="0"/>
              </w:numPr>
              <w:spacing w:line="240" w:lineRule="auto"/>
              <w:ind w:left="360" w:hanging="360"/>
            </w:pPr>
          </w:p>
        </w:tc>
      </w:tr>
      <w:tr w:rsidR="008C4505" w14:paraId="034AFE52" w14:textId="77777777" w:rsidTr="008C4505">
        <w:trPr>
          <w:trHeight w:val="1700"/>
        </w:trPr>
        <w:tc>
          <w:tcPr>
            <w:tcW w:w="3103" w:type="dxa"/>
            <w:tcBorders>
              <w:left w:val="single" w:sz="4" w:space="0" w:color="auto"/>
            </w:tcBorders>
          </w:tcPr>
          <w:p w14:paraId="076647DD" w14:textId="77777777" w:rsidR="008C4505" w:rsidRPr="00202A0E" w:rsidRDefault="008C4505" w:rsidP="00202A0E">
            <w:pPr>
              <w:pStyle w:val="11sanserif"/>
              <w:numPr>
                <w:ilvl w:val="0"/>
                <w:numId w:val="0"/>
              </w:numPr>
            </w:pPr>
          </w:p>
        </w:tc>
        <w:tc>
          <w:tcPr>
            <w:tcW w:w="9847" w:type="dxa"/>
            <w:gridSpan w:val="3"/>
            <w:tcBorders>
              <w:right w:val="single" w:sz="4" w:space="0" w:color="auto"/>
            </w:tcBorders>
          </w:tcPr>
          <w:p w14:paraId="79DF950A" w14:textId="77777777" w:rsidR="008C4505" w:rsidRPr="00202A0E" w:rsidRDefault="008C4505" w:rsidP="008C4505">
            <w:pPr>
              <w:pStyle w:val="11sanserif"/>
              <w:numPr>
                <w:ilvl w:val="0"/>
                <w:numId w:val="0"/>
              </w:numPr>
              <w:spacing w:line="240" w:lineRule="auto"/>
            </w:pPr>
            <w:r w:rsidRPr="00202A0E">
              <w:t>Context: Provide a brief narrative of existing conditions, challenges, assets or technical assistance/training used.</w:t>
            </w:r>
          </w:p>
          <w:p w14:paraId="64EFE9E7" w14:textId="77777777" w:rsidR="008C4505" w:rsidRDefault="008C4505" w:rsidP="00202A0E">
            <w:pPr>
              <w:pStyle w:val="11sanserif"/>
              <w:numPr>
                <w:ilvl w:val="0"/>
                <w:numId w:val="0"/>
              </w:numPr>
            </w:pPr>
          </w:p>
          <w:p w14:paraId="62ED1E54" w14:textId="77777777" w:rsidR="004E05D8" w:rsidRDefault="004E05D8" w:rsidP="00202A0E">
            <w:pPr>
              <w:pStyle w:val="11sanserif"/>
              <w:numPr>
                <w:ilvl w:val="0"/>
                <w:numId w:val="0"/>
              </w:numPr>
            </w:pPr>
          </w:p>
          <w:p w14:paraId="1165A3D6" w14:textId="77777777" w:rsidR="004E05D8" w:rsidRPr="00202A0E" w:rsidRDefault="004E05D8" w:rsidP="00202A0E">
            <w:pPr>
              <w:pStyle w:val="11sanserif"/>
              <w:numPr>
                <w:ilvl w:val="0"/>
                <w:numId w:val="0"/>
              </w:numPr>
            </w:pPr>
          </w:p>
        </w:tc>
      </w:tr>
    </w:tbl>
    <w:p w14:paraId="6F0B3E64" w14:textId="77777777" w:rsidR="00D63D87" w:rsidRDefault="00D63D87" w:rsidP="00ED3410"/>
    <w:sectPr w:rsidR="00D63D87" w:rsidSect="004E05D8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B935C" w14:textId="77777777" w:rsidR="00BF2372" w:rsidRDefault="00BF2372" w:rsidP="00BA2782">
      <w:pPr>
        <w:spacing w:after="0" w:line="240" w:lineRule="auto"/>
      </w:pPr>
      <w:r>
        <w:separator/>
      </w:r>
    </w:p>
  </w:endnote>
  <w:endnote w:type="continuationSeparator" w:id="0">
    <w:p w14:paraId="1BD590A3" w14:textId="77777777" w:rsidR="00BF2372" w:rsidRDefault="00BF2372" w:rsidP="00BA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imes New Roman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32922" w14:textId="77777777" w:rsidR="00C26643" w:rsidRDefault="00C26643" w:rsidP="00987D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856B4" w14:textId="77777777" w:rsidR="00C26643" w:rsidRDefault="00C26643" w:rsidP="00C26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B9A70" w14:textId="77777777" w:rsidR="00C26643" w:rsidRPr="00C26643" w:rsidRDefault="00C26643" w:rsidP="00987D21">
    <w:pPr>
      <w:pStyle w:val="Footer"/>
      <w:framePr w:wrap="around" w:vAnchor="text" w:hAnchor="margin" w:xAlign="right" w:y="1"/>
      <w:rPr>
        <w:rStyle w:val="PageNumber"/>
        <w:rFonts w:ascii="Arial" w:hAnsi="Arial"/>
        <w:sz w:val="20"/>
        <w:szCs w:val="20"/>
      </w:rPr>
    </w:pPr>
    <w:r w:rsidRPr="00C26643">
      <w:rPr>
        <w:rStyle w:val="PageNumber"/>
        <w:rFonts w:ascii="Arial" w:hAnsi="Arial"/>
        <w:sz w:val="20"/>
        <w:szCs w:val="20"/>
      </w:rPr>
      <w:fldChar w:fldCharType="begin"/>
    </w:r>
    <w:r w:rsidRPr="00C26643">
      <w:rPr>
        <w:rStyle w:val="PageNumber"/>
        <w:rFonts w:ascii="Arial" w:hAnsi="Arial"/>
        <w:sz w:val="20"/>
        <w:szCs w:val="20"/>
      </w:rPr>
      <w:instrText xml:space="preserve">PAGE  </w:instrText>
    </w:r>
    <w:r w:rsidRPr="00C26643">
      <w:rPr>
        <w:rStyle w:val="PageNumber"/>
        <w:rFonts w:ascii="Arial" w:hAnsi="Arial"/>
        <w:sz w:val="20"/>
        <w:szCs w:val="20"/>
      </w:rPr>
      <w:fldChar w:fldCharType="separate"/>
    </w:r>
    <w:r w:rsidR="00207A64">
      <w:rPr>
        <w:rStyle w:val="PageNumber"/>
        <w:rFonts w:ascii="Arial" w:hAnsi="Arial"/>
        <w:noProof/>
        <w:sz w:val="20"/>
        <w:szCs w:val="20"/>
      </w:rPr>
      <w:t>2</w:t>
    </w:r>
    <w:r w:rsidRPr="00C26643">
      <w:rPr>
        <w:rStyle w:val="PageNumber"/>
        <w:rFonts w:ascii="Arial" w:hAnsi="Arial"/>
        <w:sz w:val="20"/>
        <w:szCs w:val="20"/>
      </w:rPr>
      <w:fldChar w:fldCharType="end"/>
    </w:r>
  </w:p>
  <w:p w14:paraId="30789652" w14:textId="77777777" w:rsidR="00C26643" w:rsidRDefault="00C26643" w:rsidP="00C26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4EEB3" w14:textId="77777777" w:rsidR="00BF2372" w:rsidRDefault="00BF2372" w:rsidP="00BA2782">
      <w:pPr>
        <w:spacing w:after="0" w:line="240" w:lineRule="auto"/>
      </w:pPr>
      <w:r>
        <w:separator/>
      </w:r>
    </w:p>
  </w:footnote>
  <w:footnote w:type="continuationSeparator" w:id="0">
    <w:p w14:paraId="23F459C4" w14:textId="77777777" w:rsidR="00BF2372" w:rsidRDefault="00BF2372" w:rsidP="00BA2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14B21" w14:textId="135E3286" w:rsidR="008C4505" w:rsidRDefault="008C4505" w:rsidP="00B048BB">
    <w:pPr>
      <w:pStyle w:val="Appendix"/>
      <w:tabs>
        <w:tab w:val="left" w:pos="720"/>
        <w:tab w:val="center" w:pos="6480"/>
        <w:tab w:val="right" w:pos="12960"/>
      </w:tabs>
      <w:spacing w:line="276" w:lineRule="auto"/>
      <w:jc w:val="center"/>
      <w:rPr>
        <w:rFonts w:ascii="Arial Bold" w:hAnsi="Arial Bold"/>
        <w:b/>
        <w:smallCaps/>
        <w:szCs w:val="40"/>
      </w:rPr>
    </w:pPr>
    <w:r w:rsidRPr="00B048BB">
      <w:rPr>
        <w:rFonts w:ascii="Arial Bold" w:hAnsi="Arial Bold"/>
        <w:b/>
        <w:smallCaps/>
        <w:szCs w:val="40"/>
      </w:rPr>
      <w:t xml:space="preserve">Partnership </w:t>
    </w:r>
    <w:r w:rsidR="00B9258D">
      <w:rPr>
        <w:rFonts w:ascii="Arial Bold" w:hAnsi="Arial Bold"/>
        <w:b/>
        <w:smallCaps/>
        <w:szCs w:val="40"/>
      </w:rPr>
      <w:t>Action Plan</w:t>
    </w:r>
  </w:p>
  <w:p w14:paraId="5A6C225A" w14:textId="77777777" w:rsidR="008C4505" w:rsidRPr="000C55B1" w:rsidRDefault="008C4505" w:rsidP="00B048BB">
    <w:pPr>
      <w:pStyle w:val="Appendix"/>
      <w:tabs>
        <w:tab w:val="left" w:pos="720"/>
        <w:tab w:val="center" w:pos="6480"/>
        <w:tab w:val="right" w:pos="12960"/>
      </w:tabs>
      <w:spacing w:line="276" w:lineRule="auto"/>
      <w:jc w:val="center"/>
      <w:rPr>
        <w:rFonts w:ascii="Arial Bold" w:hAnsi="Arial Bold"/>
        <w:smallCaps/>
        <w:sz w:val="18"/>
        <w:szCs w:val="18"/>
      </w:rPr>
    </w:pPr>
    <w:r w:rsidRPr="000C55B1">
      <w:rPr>
        <w:rFonts w:ascii="Arial Bold" w:hAnsi="Arial Bold"/>
        <w:smallCaps/>
        <w:sz w:val="18"/>
        <w:szCs w:val="18"/>
      </w:rPr>
      <w:t xml:space="preserve">Internal Use Only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78D"/>
    <w:multiLevelType w:val="hybridMultilevel"/>
    <w:tmpl w:val="0BF891CA"/>
    <w:lvl w:ilvl="0" w:tplc="73DC4E82">
      <w:start w:val="1"/>
      <w:numFmt w:val="bullet"/>
      <w:pStyle w:val="11sanserif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2" w:tplc="A23A07D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3" w:tplc="E722B3B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4" w:tplc="0CD6D64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  <w:lvl w:ilvl="5" w:tplc="FD16E138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 New Roman" w:hAnsi="Times New Roman" w:hint="default"/>
      </w:rPr>
    </w:lvl>
    <w:lvl w:ilvl="6" w:tplc="BE02D60E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Times New Roman" w:hAnsi="Times New Roman" w:hint="default"/>
      </w:rPr>
    </w:lvl>
    <w:lvl w:ilvl="7" w:tplc="6DCC98E4" w:tentative="1">
      <w:start w:val="1"/>
      <w:numFmt w:val="bullet"/>
      <w:lvlText w:val="•"/>
      <w:lvlJc w:val="left"/>
      <w:pPr>
        <w:tabs>
          <w:tab w:val="num" w:pos="9720"/>
        </w:tabs>
        <w:ind w:left="9720" w:hanging="360"/>
      </w:pPr>
      <w:rPr>
        <w:rFonts w:ascii="Times New Roman" w:hAnsi="Times New Roman" w:hint="default"/>
      </w:rPr>
    </w:lvl>
    <w:lvl w:ilvl="8" w:tplc="EB907CAC" w:tentative="1">
      <w:start w:val="1"/>
      <w:numFmt w:val="bullet"/>
      <w:lvlText w:val="•"/>
      <w:lvlJc w:val="left"/>
      <w:pPr>
        <w:tabs>
          <w:tab w:val="num" w:pos="10440"/>
        </w:tabs>
        <w:ind w:left="10440" w:hanging="360"/>
      </w:pPr>
      <w:rPr>
        <w:rFonts w:ascii="Times New Roman" w:hAnsi="Times New Roman" w:hint="default"/>
      </w:rPr>
    </w:lvl>
  </w:abstractNum>
  <w:abstractNum w:abstractNumId="1">
    <w:nsid w:val="226251E7"/>
    <w:multiLevelType w:val="hybridMultilevel"/>
    <w:tmpl w:val="83BE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42948"/>
    <w:multiLevelType w:val="hybridMultilevel"/>
    <w:tmpl w:val="E3FC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B0BE3"/>
    <w:multiLevelType w:val="hybridMultilevel"/>
    <w:tmpl w:val="6ED8CDC8"/>
    <w:lvl w:ilvl="0" w:tplc="FCA6F270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45FBD"/>
    <w:multiLevelType w:val="hybridMultilevel"/>
    <w:tmpl w:val="6C20A3C6"/>
    <w:lvl w:ilvl="0" w:tplc="62863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82"/>
    <w:rsid w:val="00002CD5"/>
    <w:rsid w:val="00003436"/>
    <w:rsid w:val="0000531C"/>
    <w:rsid w:val="00014BAE"/>
    <w:rsid w:val="0006259F"/>
    <w:rsid w:val="00071F7D"/>
    <w:rsid w:val="0007550D"/>
    <w:rsid w:val="000775EB"/>
    <w:rsid w:val="00092BBC"/>
    <w:rsid w:val="00094699"/>
    <w:rsid w:val="000C55B1"/>
    <w:rsid w:val="000E32A3"/>
    <w:rsid w:val="000E7B2E"/>
    <w:rsid w:val="000F11AF"/>
    <w:rsid w:val="000F1588"/>
    <w:rsid w:val="001110AE"/>
    <w:rsid w:val="0013162E"/>
    <w:rsid w:val="0013197C"/>
    <w:rsid w:val="00131CCA"/>
    <w:rsid w:val="00136B36"/>
    <w:rsid w:val="00137B8A"/>
    <w:rsid w:val="00141677"/>
    <w:rsid w:val="001430C3"/>
    <w:rsid w:val="00151E41"/>
    <w:rsid w:val="00157703"/>
    <w:rsid w:val="00161804"/>
    <w:rsid w:val="0018375A"/>
    <w:rsid w:val="00196DEC"/>
    <w:rsid w:val="001A6D14"/>
    <w:rsid w:val="001B3B97"/>
    <w:rsid w:val="001C0748"/>
    <w:rsid w:val="001E2A0E"/>
    <w:rsid w:val="00202A0E"/>
    <w:rsid w:val="00207A64"/>
    <w:rsid w:val="002441C9"/>
    <w:rsid w:val="0027179A"/>
    <w:rsid w:val="002B1461"/>
    <w:rsid w:val="002B6124"/>
    <w:rsid w:val="002D4B41"/>
    <w:rsid w:val="002D5104"/>
    <w:rsid w:val="002E256B"/>
    <w:rsid w:val="003327CC"/>
    <w:rsid w:val="0034702C"/>
    <w:rsid w:val="0035258B"/>
    <w:rsid w:val="003564EF"/>
    <w:rsid w:val="00365076"/>
    <w:rsid w:val="003928E6"/>
    <w:rsid w:val="00395715"/>
    <w:rsid w:val="003C4560"/>
    <w:rsid w:val="003D17FE"/>
    <w:rsid w:val="003D2BC6"/>
    <w:rsid w:val="00402DD8"/>
    <w:rsid w:val="00432F7D"/>
    <w:rsid w:val="0045153B"/>
    <w:rsid w:val="00452CCF"/>
    <w:rsid w:val="00462094"/>
    <w:rsid w:val="00473558"/>
    <w:rsid w:val="004A0160"/>
    <w:rsid w:val="004C3DB0"/>
    <w:rsid w:val="004E05D8"/>
    <w:rsid w:val="004F2D5B"/>
    <w:rsid w:val="00503347"/>
    <w:rsid w:val="00503C56"/>
    <w:rsid w:val="00530866"/>
    <w:rsid w:val="0053244A"/>
    <w:rsid w:val="005343D7"/>
    <w:rsid w:val="005462D5"/>
    <w:rsid w:val="00580402"/>
    <w:rsid w:val="00581FC7"/>
    <w:rsid w:val="005D33C7"/>
    <w:rsid w:val="005F1BA3"/>
    <w:rsid w:val="00643461"/>
    <w:rsid w:val="00656DF1"/>
    <w:rsid w:val="00673CBF"/>
    <w:rsid w:val="00684793"/>
    <w:rsid w:val="0069474F"/>
    <w:rsid w:val="006E027B"/>
    <w:rsid w:val="006E7EEB"/>
    <w:rsid w:val="007153E7"/>
    <w:rsid w:val="007248B3"/>
    <w:rsid w:val="00744565"/>
    <w:rsid w:val="0078569E"/>
    <w:rsid w:val="007B7BB0"/>
    <w:rsid w:val="007C5BE7"/>
    <w:rsid w:val="007D0E3F"/>
    <w:rsid w:val="007D654C"/>
    <w:rsid w:val="007D6FDE"/>
    <w:rsid w:val="007E7A39"/>
    <w:rsid w:val="007F40D2"/>
    <w:rsid w:val="0081209B"/>
    <w:rsid w:val="00837F51"/>
    <w:rsid w:val="00880076"/>
    <w:rsid w:val="008A6C93"/>
    <w:rsid w:val="008B4FBF"/>
    <w:rsid w:val="008C4505"/>
    <w:rsid w:val="008D0F6F"/>
    <w:rsid w:val="008E350A"/>
    <w:rsid w:val="00900C99"/>
    <w:rsid w:val="009025D9"/>
    <w:rsid w:val="0092393E"/>
    <w:rsid w:val="00924DCA"/>
    <w:rsid w:val="00950417"/>
    <w:rsid w:val="00982F01"/>
    <w:rsid w:val="009A564A"/>
    <w:rsid w:val="009B7F38"/>
    <w:rsid w:val="009D3B03"/>
    <w:rsid w:val="009F3C67"/>
    <w:rsid w:val="00A11038"/>
    <w:rsid w:val="00A12893"/>
    <w:rsid w:val="00A13701"/>
    <w:rsid w:val="00A253C8"/>
    <w:rsid w:val="00A37F4D"/>
    <w:rsid w:val="00A56F5F"/>
    <w:rsid w:val="00A601FB"/>
    <w:rsid w:val="00A61492"/>
    <w:rsid w:val="00A706FD"/>
    <w:rsid w:val="00A9071A"/>
    <w:rsid w:val="00AA1062"/>
    <w:rsid w:val="00AB0555"/>
    <w:rsid w:val="00AC3A13"/>
    <w:rsid w:val="00AC7448"/>
    <w:rsid w:val="00AE6AC4"/>
    <w:rsid w:val="00B048BB"/>
    <w:rsid w:val="00B10C27"/>
    <w:rsid w:val="00B52778"/>
    <w:rsid w:val="00B9258D"/>
    <w:rsid w:val="00BA2782"/>
    <w:rsid w:val="00BB24F8"/>
    <w:rsid w:val="00BE33D6"/>
    <w:rsid w:val="00BE70B7"/>
    <w:rsid w:val="00BF2372"/>
    <w:rsid w:val="00BF2DD4"/>
    <w:rsid w:val="00BF597C"/>
    <w:rsid w:val="00C1605C"/>
    <w:rsid w:val="00C26643"/>
    <w:rsid w:val="00C36248"/>
    <w:rsid w:val="00C82CD7"/>
    <w:rsid w:val="00C84C68"/>
    <w:rsid w:val="00CF1F09"/>
    <w:rsid w:val="00CF3306"/>
    <w:rsid w:val="00D07CB6"/>
    <w:rsid w:val="00D32342"/>
    <w:rsid w:val="00D373FA"/>
    <w:rsid w:val="00D45D66"/>
    <w:rsid w:val="00D63D87"/>
    <w:rsid w:val="00D90891"/>
    <w:rsid w:val="00D94F77"/>
    <w:rsid w:val="00DA27FA"/>
    <w:rsid w:val="00DA546D"/>
    <w:rsid w:val="00DA7525"/>
    <w:rsid w:val="00DB6FD0"/>
    <w:rsid w:val="00DE1765"/>
    <w:rsid w:val="00E011C7"/>
    <w:rsid w:val="00E07D2B"/>
    <w:rsid w:val="00E07E4C"/>
    <w:rsid w:val="00E65401"/>
    <w:rsid w:val="00EA4B1E"/>
    <w:rsid w:val="00EC530F"/>
    <w:rsid w:val="00ED3410"/>
    <w:rsid w:val="00F11749"/>
    <w:rsid w:val="00F22529"/>
    <w:rsid w:val="00F2299D"/>
    <w:rsid w:val="00F41445"/>
    <w:rsid w:val="00F50E3E"/>
    <w:rsid w:val="00F55FCA"/>
    <w:rsid w:val="00F75CB4"/>
    <w:rsid w:val="00F77F1E"/>
    <w:rsid w:val="00FB3730"/>
    <w:rsid w:val="00FD548E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ACA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qFormat/>
    <w:rsid w:val="00BA2782"/>
    <w:pPr>
      <w:spacing w:after="0" w:line="360" w:lineRule="auto"/>
    </w:pPr>
    <w:rPr>
      <w:rFonts w:ascii="Arial" w:eastAsiaTheme="minorEastAsia" w:hAnsi="Arial" w:cs="Arial"/>
      <w:bCs/>
      <w:color w:val="2F5496" w:themeColor="accent5" w:themeShade="BF"/>
      <w:sz w:val="40"/>
      <w:szCs w:val="24"/>
    </w:rPr>
  </w:style>
  <w:style w:type="paragraph" w:customStyle="1" w:styleId="11sanserif">
    <w:name w:val="11 san serif"/>
    <w:basedOn w:val="Normal"/>
    <w:qFormat/>
    <w:rsid w:val="00BA2782"/>
    <w:pPr>
      <w:numPr>
        <w:numId w:val="1"/>
      </w:numPr>
      <w:spacing w:after="0" w:line="360" w:lineRule="auto"/>
      <w:ind w:left="360"/>
    </w:pPr>
    <w:rPr>
      <w:rFonts w:ascii="Arial" w:eastAsiaTheme="minorEastAsia" w:hAnsi="Arial" w:cs="Arial"/>
      <w:color w:val="262626" w:themeColor="text1" w:themeTint="D9"/>
    </w:rPr>
  </w:style>
  <w:style w:type="table" w:styleId="TableGrid">
    <w:name w:val="Table Grid"/>
    <w:basedOn w:val="TableNormal"/>
    <w:uiPriority w:val="39"/>
    <w:rsid w:val="00BA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82"/>
  </w:style>
  <w:style w:type="paragraph" w:styleId="Footer">
    <w:name w:val="footer"/>
    <w:basedOn w:val="Normal"/>
    <w:link w:val="FooterChar"/>
    <w:uiPriority w:val="99"/>
    <w:unhideWhenUsed/>
    <w:rsid w:val="00BA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82"/>
  </w:style>
  <w:style w:type="paragraph" w:styleId="BalloonText">
    <w:name w:val="Balloon Text"/>
    <w:basedOn w:val="Normal"/>
    <w:link w:val="BalloonTextChar"/>
    <w:uiPriority w:val="99"/>
    <w:semiHidden/>
    <w:unhideWhenUsed/>
    <w:rsid w:val="0058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492"/>
    <w:pPr>
      <w:spacing w:after="200" w:line="276" w:lineRule="auto"/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266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qFormat/>
    <w:rsid w:val="00BA2782"/>
    <w:pPr>
      <w:spacing w:after="0" w:line="360" w:lineRule="auto"/>
    </w:pPr>
    <w:rPr>
      <w:rFonts w:ascii="Arial" w:eastAsiaTheme="minorEastAsia" w:hAnsi="Arial" w:cs="Arial"/>
      <w:bCs/>
      <w:color w:val="2F5496" w:themeColor="accent5" w:themeShade="BF"/>
      <w:sz w:val="40"/>
      <w:szCs w:val="24"/>
    </w:rPr>
  </w:style>
  <w:style w:type="paragraph" w:customStyle="1" w:styleId="11sanserif">
    <w:name w:val="11 san serif"/>
    <w:basedOn w:val="Normal"/>
    <w:qFormat/>
    <w:rsid w:val="00BA2782"/>
    <w:pPr>
      <w:numPr>
        <w:numId w:val="1"/>
      </w:numPr>
      <w:spacing w:after="0" w:line="360" w:lineRule="auto"/>
      <w:ind w:left="360"/>
    </w:pPr>
    <w:rPr>
      <w:rFonts w:ascii="Arial" w:eastAsiaTheme="minorEastAsia" w:hAnsi="Arial" w:cs="Arial"/>
      <w:color w:val="262626" w:themeColor="text1" w:themeTint="D9"/>
    </w:rPr>
  </w:style>
  <w:style w:type="table" w:styleId="TableGrid">
    <w:name w:val="Table Grid"/>
    <w:basedOn w:val="TableNormal"/>
    <w:uiPriority w:val="39"/>
    <w:rsid w:val="00BA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82"/>
  </w:style>
  <w:style w:type="paragraph" w:styleId="Footer">
    <w:name w:val="footer"/>
    <w:basedOn w:val="Normal"/>
    <w:link w:val="FooterChar"/>
    <w:uiPriority w:val="99"/>
    <w:unhideWhenUsed/>
    <w:rsid w:val="00BA2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82"/>
  </w:style>
  <w:style w:type="paragraph" w:styleId="BalloonText">
    <w:name w:val="Balloon Text"/>
    <w:basedOn w:val="Normal"/>
    <w:link w:val="BalloonTextChar"/>
    <w:uiPriority w:val="99"/>
    <w:semiHidden/>
    <w:unhideWhenUsed/>
    <w:rsid w:val="0058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F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1492"/>
    <w:pPr>
      <w:spacing w:after="200" w:line="276" w:lineRule="auto"/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C2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1514</Characters>
  <Application>Microsoft Macintosh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LA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 Simeon-Luna</dc:creator>
  <cp:lastModifiedBy>Chrysta Wilson</cp:lastModifiedBy>
  <cp:revision>2</cp:revision>
  <cp:lastPrinted>2015-06-29T21:01:00Z</cp:lastPrinted>
  <dcterms:created xsi:type="dcterms:W3CDTF">2015-09-14T17:31:00Z</dcterms:created>
  <dcterms:modified xsi:type="dcterms:W3CDTF">2015-09-14T17:31:00Z</dcterms:modified>
</cp:coreProperties>
</file>