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9292C" w14:textId="77777777" w:rsidR="00B82F9B" w:rsidRDefault="00B82F9B"/>
    <w:tbl>
      <w:tblPr>
        <w:tblStyle w:val="TableGrid"/>
        <w:tblW w:w="9558" w:type="dxa"/>
        <w:tblInd w:w="-113" w:type="dxa"/>
        <w:tblLayout w:type="fixed"/>
        <w:tblLook w:val="04A0" w:firstRow="1" w:lastRow="0" w:firstColumn="1" w:lastColumn="0" w:noHBand="0" w:noVBand="1"/>
      </w:tblPr>
      <w:tblGrid>
        <w:gridCol w:w="2878"/>
        <w:gridCol w:w="6680"/>
      </w:tblGrid>
      <w:tr w:rsidR="00A620CD" w14:paraId="7612EFF0" w14:textId="77777777" w:rsidTr="00706ECB">
        <w:tc>
          <w:tcPr>
            <w:tcW w:w="2878" w:type="dxa"/>
            <w:shd w:val="clear" w:color="auto" w:fill="E2EFD9" w:themeFill="accent6" w:themeFillTint="33"/>
          </w:tcPr>
          <w:p w14:paraId="4A8D63EF" w14:textId="77777777" w:rsidR="00B82F9B" w:rsidRDefault="007A6729" w:rsidP="00B41F2E">
            <w:pPr>
              <w:pStyle w:val="ListParagraph"/>
              <w:numPr>
                <w:ilvl w:val="0"/>
                <w:numId w:val="5"/>
              </w:numPr>
              <w:ind w:left="360" w:hanging="270"/>
            </w:pPr>
            <w:r w:rsidRPr="007A6729">
              <w:rPr>
                <w:b/>
                <w:color w:val="2E74B5" w:themeColor="accent5" w:themeShade="BF"/>
              </w:rPr>
              <w:t>NAME</w:t>
            </w:r>
            <w:r>
              <w:t xml:space="preserve"> of the resource / tool</w:t>
            </w:r>
          </w:p>
        </w:tc>
        <w:tc>
          <w:tcPr>
            <w:tcW w:w="6680" w:type="dxa"/>
          </w:tcPr>
          <w:p w14:paraId="007CA227" w14:textId="635CC2CB" w:rsidR="00C157A1" w:rsidRDefault="00F47E4D">
            <w:r>
              <w:t>Emotional Triggers Worksheet</w:t>
            </w:r>
          </w:p>
          <w:p w14:paraId="48656CFD" w14:textId="77777777" w:rsidR="00C157A1" w:rsidRDefault="00C157A1"/>
        </w:tc>
      </w:tr>
      <w:tr w:rsidR="00A620CD" w14:paraId="262D22E8" w14:textId="77777777" w:rsidTr="00706ECB">
        <w:tc>
          <w:tcPr>
            <w:tcW w:w="2878" w:type="dxa"/>
            <w:shd w:val="clear" w:color="auto" w:fill="E2EFD9" w:themeFill="accent6" w:themeFillTint="33"/>
          </w:tcPr>
          <w:p w14:paraId="4F8BC12C" w14:textId="77777777" w:rsidR="00B82F9B" w:rsidRDefault="007A6729" w:rsidP="00B41F2E">
            <w:pPr>
              <w:pStyle w:val="ListParagraph"/>
              <w:numPr>
                <w:ilvl w:val="0"/>
                <w:numId w:val="5"/>
              </w:numPr>
              <w:ind w:left="360" w:hanging="270"/>
            </w:pPr>
            <w:r w:rsidRPr="007A6729">
              <w:rPr>
                <w:b/>
                <w:color w:val="2E74B5" w:themeColor="accent5" w:themeShade="BF"/>
              </w:rPr>
              <w:t xml:space="preserve">WHAT </w:t>
            </w:r>
            <w:r>
              <w:t>is the purpose of the resource / tool?</w:t>
            </w:r>
          </w:p>
          <w:p w14:paraId="3F7E9FE8" w14:textId="77777777" w:rsidR="007A6729" w:rsidRDefault="007A6729" w:rsidP="00B41F2E">
            <w:pPr>
              <w:ind w:left="360" w:hanging="270"/>
            </w:pPr>
          </w:p>
          <w:p w14:paraId="77C968D6" w14:textId="77777777" w:rsidR="007A6729" w:rsidRDefault="007A6729" w:rsidP="00B41F2E">
            <w:pPr>
              <w:ind w:left="360" w:hanging="270"/>
            </w:pPr>
          </w:p>
          <w:p w14:paraId="04C7C69E" w14:textId="77777777" w:rsidR="007A6729" w:rsidRDefault="007A6729" w:rsidP="00B41F2E">
            <w:pPr>
              <w:ind w:left="360" w:hanging="270"/>
            </w:pPr>
          </w:p>
          <w:p w14:paraId="7F1B4C06" w14:textId="77777777" w:rsidR="007A6729" w:rsidRDefault="007A6729" w:rsidP="00B41F2E">
            <w:pPr>
              <w:ind w:left="360" w:hanging="270"/>
            </w:pPr>
          </w:p>
        </w:tc>
        <w:tc>
          <w:tcPr>
            <w:tcW w:w="6680" w:type="dxa"/>
          </w:tcPr>
          <w:p w14:paraId="7AB597E2" w14:textId="3F94C721" w:rsidR="00A620CD" w:rsidRDefault="00A620CD" w:rsidP="00A620CD">
            <w:r>
              <w:t>Identifying things that “push your buttons” is the first step in learning how to harness angry emotions and turn them into positive ones.</w:t>
            </w:r>
          </w:p>
          <w:p w14:paraId="0BC842B4" w14:textId="77777777" w:rsidR="00A620CD" w:rsidRDefault="00A620CD" w:rsidP="004E0A9F"/>
          <w:p w14:paraId="55407DF6" w14:textId="3417B003" w:rsidR="00B82F9B" w:rsidRPr="004E0A9F" w:rsidRDefault="00A620CD" w:rsidP="004E0A9F">
            <w:pPr>
              <w:rPr>
                <w:rFonts w:ascii="Calibri" w:hAnsi="Calibri"/>
              </w:rPr>
            </w:pPr>
            <w:r>
              <w:t>This worksheet helps individuals identify their triggers for negative emotions (anger, frustration, etc.).</w:t>
            </w:r>
          </w:p>
        </w:tc>
      </w:tr>
      <w:tr w:rsidR="00A620CD" w14:paraId="60311AB4" w14:textId="77777777" w:rsidTr="00706ECB">
        <w:tc>
          <w:tcPr>
            <w:tcW w:w="2878" w:type="dxa"/>
            <w:shd w:val="clear" w:color="auto" w:fill="E2EFD9" w:themeFill="accent6" w:themeFillTint="33"/>
          </w:tcPr>
          <w:p w14:paraId="2CA0DE46" w14:textId="77777777" w:rsidR="00B82F9B" w:rsidRDefault="00B82F9B" w:rsidP="00B41F2E">
            <w:pPr>
              <w:pStyle w:val="ListParagraph"/>
              <w:numPr>
                <w:ilvl w:val="0"/>
                <w:numId w:val="5"/>
              </w:numPr>
              <w:ind w:left="360" w:hanging="270"/>
            </w:pPr>
            <w:r w:rsidRPr="007A6729">
              <w:rPr>
                <w:b/>
                <w:color w:val="2E74B5" w:themeColor="accent5" w:themeShade="BF"/>
              </w:rPr>
              <w:t>WHO</w:t>
            </w:r>
            <w:r>
              <w:t xml:space="preserve"> developed the </w:t>
            </w:r>
            <w:r w:rsidR="007A6729">
              <w:t>resource / tool? (If it was adapted from an existing document, please include a citation for the original source.)</w:t>
            </w:r>
          </w:p>
          <w:p w14:paraId="327BDB8D" w14:textId="77777777" w:rsidR="007A6729" w:rsidRDefault="007A6729" w:rsidP="00B41F2E">
            <w:pPr>
              <w:ind w:left="360" w:hanging="270"/>
            </w:pPr>
          </w:p>
          <w:p w14:paraId="54A28BEF" w14:textId="77777777" w:rsidR="007A6729" w:rsidRDefault="007A6729" w:rsidP="00B41F2E">
            <w:pPr>
              <w:ind w:left="360" w:hanging="270"/>
            </w:pPr>
          </w:p>
        </w:tc>
        <w:tc>
          <w:tcPr>
            <w:tcW w:w="6680" w:type="dxa"/>
          </w:tcPr>
          <w:p w14:paraId="1F1F4C4D" w14:textId="4C69EF2D" w:rsidR="00564EAE" w:rsidRPr="00564EAE" w:rsidRDefault="00B161F9" w:rsidP="00564EAE">
            <w:pPr>
              <w:rPr>
                <w:rFonts w:ascii="Calibri" w:hAnsi="Calibri"/>
              </w:rPr>
            </w:pPr>
            <w:r>
              <w:rPr>
                <w:rFonts w:ascii="Calibri" w:hAnsi="Calibri"/>
              </w:rPr>
              <w:t>Original Source Not Known</w:t>
            </w:r>
          </w:p>
          <w:p w14:paraId="7ADF363F" w14:textId="043C79F5" w:rsidR="00034A15" w:rsidRDefault="00034A15" w:rsidP="00A0732C"/>
        </w:tc>
      </w:tr>
      <w:tr w:rsidR="00A620CD" w14:paraId="04C5B6D6" w14:textId="77777777" w:rsidTr="00706ECB">
        <w:tc>
          <w:tcPr>
            <w:tcW w:w="2878" w:type="dxa"/>
            <w:shd w:val="clear" w:color="auto" w:fill="E2EFD9" w:themeFill="accent6" w:themeFillTint="33"/>
          </w:tcPr>
          <w:p w14:paraId="56DA4321" w14:textId="77777777" w:rsidR="007A6729" w:rsidRDefault="007A6729" w:rsidP="00B41F2E">
            <w:pPr>
              <w:pStyle w:val="ListParagraph"/>
              <w:numPr>
                <w:ilvl w:val="0"/>
                <w:numId w:val="5"/>
              </w:numPr>
              <w:ind w:left="360" w:hanging="270"/>
            </w:pPr>
            <w:r w:rsidRPr="007A6729">
              <w:rPr>
                <w:b/>
                <w:color w:val="2E74B5" w:themeColor="accent5" w:themeShade="BF"/>
              </w:rPr>
              <w:t>HOW</w:t>
            </w:r>
            <w:r w:rsidR="00B82F9B">
              <w:t xml:space="preserve"> should the resource / tool be used?</w:t>
            </w:r>
            <w:r>
              <w:t xml:space="preserve">  </w:t>
            </w:r>
          </w:p>
          <w:p w14:paraId="0E4E3DBB" w14:textId="77777777" w:rsidR="007A6729" w:rsidRPr="00B41F2E" w:rsidRDefault="007A6729" w:rsidP="00C157A1">
            <w:pPr>
              <w:pStyle w:val="ListParagraph"/>
              <w:numPr>
                <w:ilvl w:val="0"/>
                <w:numId w:val="6"/>
              </w:numPr>
              <w:ind w:hanging="90"/>
              <w:rPr>
                <w:i/>
              </w:rPr>
            </w:pPr>
            <w:r w:rsidRPr="00B41F2E">
              <w:rPr>
                <w:i/>
              </w:rPr>
              <w:t>What circumstances are ideal/appropriate?</w:t>
            </w:r>
          </w:p>
          <w:p w14:paraId="6AA2E242" w14:textId="77777777" w:rsidR="00B82F9B" w:rsidRPr="00B41F2E" w:rsidRDefault="007A6729" w:rsidP="00C157A1">
            <w:pPr>
              <w:pStyle w:val="ListParagraph"/>
              <w:numPr>
                <w:ilvl w:val="0"/>
                <w:numId w:val="6"/>
              </w:numPr>
              <w:ind w:hanging="90"/>
              <w:rPr>
                <w:i/>
              </w:rPr>
            </w:pPr>
            <w:r w:rsidRPr="00B41F2E">
              <w:rPr>
                <w:i/>
              </w:rPr>
              <w:t>By whom and when?</w:t>
            </w:r>
          </w:p>
          <w:p w14:paraId="05CEE814" w14:textId="77777777" w:rsidR="007A6729" w:rsidRPr="00B41F2E" w:rsidRDefault="007A6729" w:rsidP="00C157A1">
            <w:pPr>
              <w:pStyle w:val="ListParagraph"/>
              <w:numPr>
                <w:ilvl w:val="0"/>
                <w:numId w:val="6"/>
              </w:numPr>
              <w:ind w:hanging="90"/>
              <w:rPr>
                <w:i/>
              </w:rPr>
            </w:pPr>
            <w:r w:rsidRPr="00B41F2E">
              <w:rPr>
                <w:i/>
              </w:rPr>
              <w:t>Is a particular skill set or special preparation needed?</w:t>
            </w:r>
          </w:p>
          <w:p w14:paraId="6DAA0288" w14:textId="77777777" w:rsidR="007A6729" w:rsidRDefault="007A6729" w:rsidP="00B41F2E">
            <w:pPr>
              <w:ind w:left="360" w:hanging="270"/>
            </w:pPr>
          </w:p>
        </w:tc>
        <w:tc>
          <w:tcPr>
            <w:tcW w:w="6680" w:type="dxa"/>
          </w:tcPr>
          <w:p w14:paraId="5171447F" w14:textId="512138D8" w:rsidR="00260FC0" w:rsidRDefault="004E0A9F" w:rsidP="004E0A9F">
            <w:r>
              <w:t>As a reference</w:t>
            </w:r>
            <w:r w:rsidR="0063463B">
              <w:t xml:space="preserve"> for</w:t>
            </w:r>
            <w:r>
              <w:t>:</w:t>
            </w:r>
          </w:p>
          <w:p w14:paraId="5ECF56ED" w14:textId="77777777" w:rsidR="000223BA" w:rsidRDefault="004E0A9F" w:rsidP="004E0A9F">
            <w:pPr>
              <w:pStyle w:val="ListParagraph"/>
              <w:numPr>
                <w:ilvl w:val="0"/>
                <w:numId w:val="12"/>
              </w:numPr>
            </w:pPr>
            <w:r>
              <w:t xml:space="preserve">Exploring </w:t>
            </w:r>
            <w:r w:rsidR="000223BA">
              <w:t>group dynamics and how members engage with others.</w:t>
            </w:r>
          </w:p>
          <w:p w14:paraId="54AF42B8" w14:textId="31788E2B" w:rsidR="004E0A9F" w:rsidRDefault="000223BA" w:rsidP="004E0A9F">
            <w:pPr>
              <w:pStyle w:val="ListParagraph"/>
              <w:numPr>
                <w:ilvl w:val="0"/>
                <w:numId w:val="12"/>
              </w:numPr>
            </w:pPr>
            <w:r>
              <w:t xml:space="preserve">Supporting members in developing </w:t>
            </w:r>
            <w:proofErr w:type="spellStart"/>
            <w:r>
              <w:t>self care</w:t>
            </w:r>
            <w:proofErr w:type="spellEnd"/>
            <w:r>
              <w:t xml:space="preserve"> and stress management strategies. </w:t>
            </w:r>
          </w:p>
          <w:p w14:paraId="7A1BFE45" w14:textId="56E626B0" w:rsidR="004E0A9F" w:rsidRDefault="004E0A9F" w:rsidP="004E0A9F">
            <w:pPr>
              <w:pStyle w:val="ListParagraph"/>
              <w:numPr>
                <w:ilvl w:val="0"/>
                <w:numId w:val="12"/>
              </w:numPr>
            </w:pPr>
            <w:r>
              <w:t xml:space="preserve">Creating group agreements that promote </w:t>
            </w:r>
            <w:r w:rsidR="000223BA">
              <w:t xml:space="preserve">consideration for others, </w:t>
            </w:r>
            <w:r>
              <w:t xml:space="preserve">mutual respect and </w:t>
            </w:r>
            <w:r w:rsidR="000223BA">
              <w:t xml:space="preserve">personal </w:t>
            </w:r>
            <w:r>
              <w:t>accountability</w:t>
            </w:r>
            <w:r w:rsidR="000223BA">
              <w:t>.</w:t>
            </w:r>
          </w:p>
          <w:p w14:paraId="2E300F3F" w14:textId="4D4E0951" w:rsidR="004E0A9F" w:rsidRDefault="004E0A9F" w:rsidP="004E0A9F">
            <w:pPr>
              <w:pStyle w:val="ListParagraph"/>
              <w:numPr>
                <w:ilvl w:val="0"/>
                <w:numId w:val="12"/>
              </w:numPr>
            </w:pPr>
            <w:r>
              <w:t>Coaching others through conflict resolution.</w:t>
            </w:r>
          </w:p>
        </w:tc>
      </w:tr>
      <w:tr w:rsidR="00A620CD" w14:paraId="0AD48D70" w14:textId="77777777" w:rsidTr="00706ECB">
        <w:tc>
          <w:tcPr>
            <w:tcW w:w="2878" w:type="dxa"/>
            <w:shd w:val="clear" w:color="auto" w:fill="E2EFD9" w:themeFill="accent6" w:themeFillTint="33"/>
          </w:tcPr>
          <w:p w14:paraId="3003E624" w14:textId="77777777" w:rsidR="00B82F9B" w:rsidRDefault="007A6729" w:rsidP="00B41F2E">
            <w:pPr>
              <w:pStyle w:val="ListParagraph"/>
              <w:numPr>
                <w:ilvl w:val="0"/>
                <w:numId w:val="5"/>
              </w:numPr>
              <w:ind w:left="360" w:hanging="270"/>
            </w:pPr>
            <w:r w:rsidRPr="007A6729">
              <w:rPr>
                <w:b/>
                <w:color w:val="2E74B5" w:themeColor="accent5" w:themeShade="BF"/>
              </w:rPr>
              <w:t>WHY</w:t>
            </w:r>
            <w:r>
              <w:t xml:space="preserve"> is this resource being recommended? </w:t>
            </w:r>
            <w:r w:rsidR="00C157A1">
              <w:t>(</w:t>
            </w:r>
            <w:r>
              <w:t>What makes is especially effective or useful for community-based work?</w:t>
            </w:r>
            <w:r w:rsidR="00C157A1">
              <w:t>)</w:t>
            </w:r>
          </w:p>
        </w:tc>
        <w:tc>
          <w:tcPr>
            <w:tcW w:w="6680" w:type="dxa"/>
          </w:tcPr>
          <w:p w14:paraId="2CF3BB3A" w14:textId="625CD295" w:rsidR="00AE3609" w:rsidRDefault="00AB6BAA" w:rsidP="00941B40">
            <w:pPr>
              <w:numPr>
                <w:ilvl w:val="0"/>
                <w:numId w:val="13"/>
              </w:numPr>
              <w:shd w:val="clear" w:color="auto" w:fill="FFFFFF"/>
              <w:ind w:left="600"/>
              <w:rPr>
                <w:rFonts w:ascii="Calibri" w:hAnsi="Calibri" w:cs="Lucida Grande"/>
                <w:color w:val="000000" w:themeColor="text1"/>
              </w:rPr>
            </w:pPr>
            <w:r w:rsidRPr="005B1870">
              <w:rPr>
                <w:rFonts w:ascii="Calibri" w:hAnsi="Calibri"/>
                <w:color w:val="000000" w:themeColor="text1"/>
              </w:rPr>
              <w:t xml:space="preserve">Occasional conflict is a natural part of </w:t>
            </w:r>
            <w:r w:rsidR="00AE3609">
              <w:rPr>
                <w:rFonts w:ascii="Calibri" w:hAnsi="Calibri"/>
                <w:color w:val="000000" w:themeColor="text1"/>
              </w:rPr>
              <w:t xml:space="preserve">any type of </w:t>
            </w:r>
            <w:r w:rsidRPr="005B1870">
              <w:rPr>
                <w:rFonts w:ascii="Calibri" w:hAnsi="Calibri"/>
                <w:color w:val="000000" w:themeColor="text1"/>
              </w:rPr>
              <w:t xml:space="preserve">group work and community building. </w:t>
            </w:r>
          </w:p>
          <w:p w14:paraId="34BBABB8" w14:textId="23B9E0D9" w:rsidR="00EA520C" w:rsidRPr="00AE3609" w:rsidRDefault="00941B40" w:rsidP="00941B40">
            <w:pPr>
              <w:numPr>
                <w:ilvl w:val="0"/>
                <w:numId w:val="13"/>
              </w:numPr>
              <w:shd w:val="clear" w:color="auto" w:fill="FFFFFF"/>
              <w:ind w:left="600"/>
              <w:rPr>
                <w:rFonts w:ascii="Calibri" w:hAnsi="Calibri" w:cs="Lucida Grande"/>
                <w:color w:val="000000" w:themeColor="text1"/>
              </w:rPr>
            </w:pPr>
            <w:r w:rsidRPr="00AE3609">
              <w:rPr>
                <w:rFonts w:ascii="Calibri" w:hAnsi="Calibri"/>
                <w:color w:val="000000" w:themeColor="text1"/>
              </w:rPr>
              <w:t xml:space="preserve">This worksheet can help group members develop critical emotional competence skills, including </w:t>
            </w:r>
            <w:r>
              <w:t>the ability to identify and manage one’s emotions. This includes knowing how to nourish your emotional state, take turns, delay gratification, and cope with failure and loss. It also involves knowing how to control impulses, use good judgement and adapt emotions in response to others’ emotions and reactions – all of which are common characteristics of exemplary leaders.</w:t>
            </w:r>
          </w:p>
          <w:p w14:paraId="64D2ECD5" w14:textId="3DD37FC6" w:rsidR="007A6729" w:rsidRDefault="007A6729"/>
        </w:tc>
      </w:tr>
    </w:tbl>
    <w:p w14:paraId="1742A967" w14:textId="77777777" w:rsidR="00B82F9B" w:rsidRDefault="00B82F9B"/>
    <w:sectPr w:rsidR="00B82F9B" w:rsidSect="00BD38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A6399" w14:textId="77777777" w:rsidR="00A04988" w:rsidRDefault="00A04988" w:rsidP="0072452B">
      <w:r>
        <w:separator/>
      </w:r>
    </w:p>
  </w:endnote>
  <w:endnote w:type="continuationSeparator" w:id="0">
    <w:p w14:paraId="27F0EDF7" w14:textId="77777777" w:rsidR="00A04988" w:rsidRDefault="00A04988" w:rsidP="007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Libre Franklin Black">
    <w:panose1 w:val="00000A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DF06" w14:textId="77777777" w:rsidR="00B01A9D" w:rsidRDefault="00B01A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40D37" w14:textId="77777777" w:rsidR="00B01A9D" w:rsidRDefault="00B01A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F334" w14:textId="77777777" w:rsidR="00B01A9D" w:rsidRDefault="00B01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9F682" w14:textId="77777777" w:rsidR="00A04988" w:rsidRDefault="00A04988" w:rsidP="0072452B">
      <w:r>
        <w:separator/>
      </w:r>
    </w:p>
  </w:footnote>
  <w:footnote w:type="continuationSeparator" w:id="0">
    <w:p w14:paraId="4B74CE8C" w14:textId="77777777" w:rsidR="00A04988" w:rsidRDefault="00A04988" w:rsidP="0072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E240C" w14:textId="77777777" w:rsidR="00B01A9D" w:rsidRDefault="00B01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FB8B4" w14:textId="77777777" w:rsidR="00BB6776" w:rsidRPr="005F4626" w:rsidRDefault="00BB6776" w:rsidP="00BB6776">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7D0DC0BB" wp14:editId="13A7C324">
          <wp:simplePos x="0" y="0"/>
          <wp:positionH relativeFrom="margin">
            <wp:posOffset>-35560</wp:posOffset>
          </wp:positionH>
          <wp:positionV relativeFrom="paragraph">
            <wp:posOffset>-114935</wp:posOffset>
          </wp:positionV>
          <wp:extent cx="1670050" cy="453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4568E12C" w14:textId="2159EC10" w:rsidR="0072452B" w:rsidRDefault="0072452B">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F91E" w14:textId="77777777" w:rsidR="00B01A9D" w:rsidRDefault="00B01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01B"/>
    <w:multiLevelType w:val="multilevel"/>
    <w:tmpl w:val="02EA2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24A6F"/>
    <w:multiLevelType w:val="hybridMultilevel"/>
    <w:tmpl w:val="8780A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E0CDD"/>
    <w:multiLevelType w:val="hybridMultilevel"/>
    <w:tmpl w:val="7848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93997"/>
    <w:multiLevelType w:val="hybridMultilevel"/>
    <w:tmpl w:val="3FD0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7BC2"/>
    <w:multiLevelType w:val="hybridMultilevel"/>
    <w:tmpl w:val="2F3C5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82A90"/>
    <w:multiLevelType w:val="hybridMultilevel"/>
    <w:tmpl w:val="5BF4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72CD9"/>
    <w:multiLevelType w:val="hybridMultilevel"/>
    <w:tmpl w:val="7FF8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247F8"/>
    <w:multiLevelType w:val="hybridMultilevel"/>
    <w:tmpl w:val="89E23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71129"/>
    <w:multiLevelType w:val="hybridMultilevel"/>
    <w:tmpl w:val="187C9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2B4293E"/>
    <w:multiLevelType w:val="hybridMultilevel"/>
    <w:tmpl w:val="F5FC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03FE1"/>
    <w:multiLevelType w:val="hybridMultilevel"/>
    <w:tmpl w:val="7486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9"/>
  </w:num>
  <w:num w:numId="6">
    <w:abstractNumId w:val="10"/>
  </w:num>
  <w:num w:numId="7">
    <w:abstractNumId w:val="12"/>
  </w:num>
  <w:num w:numId="8">
    <w:abstractNumId w:val="2"/>
  </w:num>
  <w:num w:numId="9">
    <w:abstractNumId w:val="11"/>
  </w:num>
  <w:num w:numId="10">
    <w:abstractNumId w:val="5"/>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27"/>
    <w:rsid w:val="000223BA"/>
    <w:rsid w:val="00034A15"/>
    <w:rsid w:val="00057F56"/>
    <w:rsid w:val="00187C56"/>
    <w:rsid w:val="00260FC0"/>
    <w:rsid w:val="002C079A"/>
    <w:rsid w:val="00373FCD"/>
    <w:rsid w:val="004E0A9F"/>
    <w:rsid w:val="00502076"/>
    <w:rsid w:val="00564EAE"/>
    <w:rsid w:val="005665C2"/>
    <w:rsid w:val="00566F27"/>
    <w:rsid w:val="005B1870"/>
    <w:rsid w:val="005C14E6"/>
    <w:rsid w:val="005C5231"/>
    <w:rsid w:val="005D79FD"/>
    <w:rsid w:val="005F4626"/>
    <w:rsid w:val="0063463B"/>
    <w:rsid w:val="0064529D"/>
    <w:rsid w:val="00706ECB"/>
    <w:rsid w:val="0072452B"/>
    <w:rsid w:val="007A6729"/>
    <w:rsid w:val="007C0411"/>
    <w:rsid w:val="00861B04"/>
    <w:rsid w:val="00934347"/>
    <w:rsid w:val="00941B40"/>
    <w:rsid w:val="00952FEB"/>
    <w:rsid w:val="00A04988"/>
    <w:rsid w:val="00A0732C"/>
    <w:rsid w:val="00A5463E"/>
    <w:rsid w:val="00A620CD"/>
    <w:rsid w:val="00AB6BAA"/>
    <w:rsid w:val="00AE3609"/>
    <w:rsid w:val="00AE73C0"/>
    <w:rsid w:val="00B01A9D"/>
    <w:rsid w:val="00B161F9"/>
    <w:rsid w:val="00B41F2E"/>
    <w:rsid w:val="00B82F9B"/>
    <w:rsid w:val="00BB6776"/>
    <w:rsid w:val="00BD38CC"/>
    <w:rsid w:val="00C07CEA"/>
    <w:rsid w:val="00C157A1"/>
    <w:rsid w:val="00C35EFB"/>
    <w:rsid w:val="00D048E1"/>
    <w:rsid w:val="00D9528A"/>
    <w:rsid w:val="00DC74F7"/>
    <w:rsid w:val="00E1766B"/>
    <w:rsid w:val="00E3512A"/>
    <w:rsid w:val="00E72E5B"/>
    <w:rsid w:val="00EA520C"/>
    <w:rsid w:val="00F07132"/>
    <w:rsid w:val="00F4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50035"/>
  <w15:chartTrackingRefBased/>
  <w15:docId w15:val="{92244BD3-7C12-DA4E-AC18-4AC67212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52B"/>
    <w:pPr>
      <w:tabs>
        <w:tab w:val="center" w:pos="4680"/>
        <w:tab w:val="right" w:pos="9360"/>
      </w:tabs>
    </w:pPr>
  </w:style>
  <w:style w:type="character" w:customStyle="1" w:styleId="HeaderChar">
    <w:name w:val="Header Char"/>
    <w:basedOn w:val="DefaultParagraphFont"/>
    <w:link w:val="Header"/>
    <w:uiPriority w:val="99"/>
    <w:rsid w:val="0072452B"/>
  </w:style>
  <w:style w:type="paragraph" w:styleId="Footer">
    <w:name w:val="footer"/>
    <w:basedOn w:val="Normal"/>
    <w:link w:val="FooterChar"/>
    <w:uiPriority w:val="99"/>
    <w:unhideWhenUsed/>
    <w:rsid w:val="0072452B"/>
    <w:pPr>
      <w:tabs>
        <w:tab w:val="center" w:pos="4680"/>
        <w:tab w:val="right" w:pos="9360"/>
      </w:tabs>
    </w:pPr>
  </w:style>
  <w:style w:type="character" w:customStyle="1" w:styleId="FooterChar">
    <w:name w:val="Footer Char"/>
    <w:basedOn w:val="DefaultParagraphFont"/>
    <w:link w:val="Footer"/>
    <w:uiPriority w:val="99"/>
    <w:rsid w:val="0072452B"/>
  </w:style>
  <w:style w:type="table" w:styleId="TableGrid">
    <w:name w:val="Table Grid"/>
    <w:basedOn w:val="TableNormal"/>
    <w:uiPriority w:val="39"/>
    <w:rsid w:val="00B8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729"/>
    <w:pPr>
      <w:ind w:left="720"/>
      <w:contextualSpacing/>
    </w:pPr>
  </w:style>
  <w:style w:type="character" w:styleId="Emphasis">
    <w:name w:val="Emphasis"/>
    <w:basedOn w:val="DefaultParagraphFont"/>
    <w:uiPriority w:val="20"/>
    <w:qFormat/>
    <w:rsid w:val="00564E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79027">
      <w:bodyDiv w:val="1"/>
      <w:marLeft w:val="0"/>
      <w:marRight w:val="0"/>
      <w:marTop w:val="0"/>
      <w:marBottom w:val="0"/>
      <w:divBdr>
        <w:top w:val="none" w:sz="0" w:space="0" w:color="auto"/>
        <w:left w:val="none" w:sz="0" w:space="0" w:color="auto"/>
        <w:bottom w:val="none" w:sz="0" w:space="0" w:color="auto"/>
        <w:right w:val="none" w:sz="0" w:space="0" w:color="auto"/>
      </w:divBdr>
    </w:div>
    <w:div w:id="994187254">
      <w:bodyDiv w:val="1"/>
      <w:marLeft w:val="0"/>
      <w:marRight w:val="0"/>
      <w:marTop w:val="0"/>
      <w:marBottom w:val="0"/>
      <w:divBdr>
        <w:top w:val="none" w:sz="0" w:space="0" w:color="auto"/>
        <w:left w:val="none" w:sz="0" w:space="0" w:color="auto"/>
        <w:bottom w:val="none" w:sz="0" w:space="0" w:color="auto"/>
        <w:right w:val="none" w:sz="0" w:space="0" w:color="auto"/>
      </w:divBdr>
    </w:div>
    <w:div w:id="1075786718">
      <w:bodyDiv w:val="1"/>
      <w:marLeft w:val="0"/>
      <w:marRight w:val="0"/>
      <w:marTop w:val="0"/>
      <w:marBottom w:val="0"/>
      <w:divBdr>
        <w:top w:val="none" w:sz="0" w:space="0" w:color="auto"/>
        <w:left w:val="none" w:sz="0" w:space="0" w:color="auto"/>
        <w:bottom w:val="none" w:sz="0" w:space="0" w:color="auto"/>
        <w:right w:val="none" w:sz="0" w:space="0" w:color="auto"/>
      </w:divBdr>
    </w:div>
    <w:div w:id="1269697960">
      <w:bodyDiv w:val="1"/>
      <w:marLeft w:val="0"/>
      <w:marRight w:val="0"/>
      <w:marTop w:val="0"/>
      <w:marBottom w:val="0"/>
      <w:divBdr>
        <w:top w:val="none" w:sz="0" w:space="0" w:color="auto"/>
        <w:left w:val="none" w:sz="0" w:space="0" w:color="auto"/>
        <w:bottom w:val="none" w:sz="0" w:space="0" w:color="auto"/>
        <w:right w:val="none" w:sz="0" w:space="0" w:color="auto"/>
      </w:divBdr>
    </w:div>
    <w:div w:id="16774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Coleman</dc:creator>
  <cp:keywords/>
  <dc:description/>
  <cp:lastModifiedBy>Arthur Argomaniz</cp:lastModifiedBy>
  <cp:revision>7</cp:revision>
  <dcterms:created xsi:type="dcterms:W3CDTF">2019-01-22T08:31:00Z</dcterms:created>
  <dcterms:modified xsi:type="dcterms:W3CDTF">2019-02-27T11:41:00Z</dcterms:modified>
</cp:coreProperties>
</file>